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2C90" w:rsidRPr="00EB5084" w:rsidRDefault="005F2C90" w:rsidP="005F2C90">
      <w:pPr>
        <w:tabs>
          <w:tab w:val="left" w:pos="284"/>
          <w:tab w:val="left" w:pos="1800"/>
        </w:tabs>
        <w:spacing w:after="240" w:line="240" w:lineRule="auto"/>
        <w:jc w:val="both"/>
        <w:rPr>
          <w:rFonts w:ascii="Arial" w:hAnsi="Arial" w:cs="Arial"/>
          <w:b/>
        </w:rPr>
      </w:pPr>
      <w:r w:rsidRPr="00EB5084">
        <w:rPr>
          <w:rFonts w:ascii="Arial" w:hAnsi="Arial" w:cs="Arial"/>
          <w:i/>
          <w:noProof/>
        </w:rPr>
        <w:drawing>
          <wp:inline distT="0" distB="0" distL="0" distR="0" wp14:anchorId="59C4613C" wp14:editId="5DD32E8F">
            <wp:extent cx="1514475" cy="561975"/>
            <wp:effectExtent l="0" t="0" r="9525" b="9525"/>
            <wp:docPr id="1" name="Imagen 1" descr="Descripción: Logo Izquierda Ofici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Descripción: Logo Izquierda Oficial"/>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14475" cy="561975"/>
                    </a:xfrm>
                    <a:prstGeom prst="rect">
                      <a:avLst/>
                    </a:prstGeom>
                    <a:noFill/>
                    <a:ln>
                      <a:noFill/>
                    </a:ln>
                  </pic:spPr>
                </pic:pic>
              </a:graphicData>
            </a:graphic>
          </wp:inline>
        </w:drawing>
      </w:r>
    </w:p>
    <w:p w:rsidR="00173F53" w:rsidRPr="00EB5084" w:rsidRDefault="00D76DCB" w:rsidP="005F2C90">
      <w:pPr>
        <w:tabs>
          <w:tab w:val="left" w:pos="284"/>
          <w:tab w:val="left" w:pos="1800"/>
        </w:tabs>
        <w:spacing w:after="240" w:line="240" w:lineRule="auto"/>
        <w:jc w:val="both"/>
        <w:rPr>
          <w:rFonts w:ascii="Arial" w:hAnsi="Arial" w:cs="Arial"/>
          <w:b/>
        </w:rPr>
      </w:pPr>
      <w:r w:rsidRPr="00EB5084">
        <w:rPr>
          <w:rFonts w:ascii="Arial" w:hAnsi="Arial" w:cs="Arial"/>
          <w:b/>
        </w:rPr>
        <w:t xml:space="preserve">FORMULARIO </w:t>
      </w:r>
      <w:r w:rsidR="000963B3" w:rsidRPr="00EB5084">
        <w:rPr>
          <w:rFonts w:ascii="Arial" w:hAnsi="Arial" w:cs="Arial"/>
          <w:b/>
        </w:rPr>
        <w:t>T 12</w:t>
      </w:r>
      <w:r w:rsidR="005F2C90" w:rsidRPr="00EB5084">
        <w:rPr>
          <w:rFonts w:ascii="Arial" w:hAnsi="Arial" w:cs="Arial"/>
          <w:b/>
        </w:rPr>
        <w:t>-00 PRODUCCIÓN DE BIENES Y SERVICIOS A PRECIOS BÁSICOS</w:t>
      </w:r>
    </w:p>
    <w:p w:rsidR="00D76DCB" w:rsidRPr="00EB5084" w:rsidRDefault="00D76DCB" w:rsidP="005F2C90">
      <w:pPr>
        <w:tabs>
          <w:tab w:val="left" w:pos="284"/>
          <w:tab w:val="left" w:pos="1800"/>
        </w:tabs>
        <w:spacing w:after="240" w:line="240" w:lineRule="auto"/>
        <w:jc w:val="both"/>
        <w:rPr>
          <w:rFonts w:ascii="Arial" w:hAnsi="Arial" w:cs="Arial"/>
          <w:b/>
        </w:rPr>
      </w:pPr>
      <w:r w:rsidRPr="00EB5084">
        <w:rPr>
          <w:rFonts w:ascii="Arial" w:hAnsi="Arial" w:cs="Arial"/>
          <w:b/>
        </w:rPr>
        <w:t>I. OBJETIVO</w:t>
      </w:r>
      <w:r w:rsidR="005F2C90" w:rsidRPr="00EB5084">
        <w:rPr>
          <w:rFonts w:ascii="Arial" w:hAnsi="Arial" w:cs="Arial"/>
          <w:b/>
        </w:rPr>
        <w:tab/>
      </w:r>
    </w:p>
    <w:p w:rsidR="00F11AE7" w:rsidRPr="00EB5084" w:rsidRDefault="00F11AE7" w:rsidP="00F11AE7">
      <w:pPr>
        <w:spacing w:after="240" w:line="240" w:lineRule="auto"/>
        <w:jc w:val="both"/>
        <w:rPr>
          <w:rFonts w:ascii="Arial" w:hAnsi="Arial" w:cs="Arial"/>
        </w:rPr>
      </w:pPr>
      <w:r w:rsidRPr="00EB5084">
        <w:rPr>
          <w:rFonts w:ascii="Arial" w:hAnsi="Arial" w:cs="Arial"/>
        </w:rPr>
        <w:t>Disponer de estadísticas de producción de bienes y servicios que facilite la toma de decisiones de las autoridades municipales y provinciales.</w:t>
      </w:r>
    </w:p>
    <w:p w:rsidR="00D01B41" w:rsidRPr="00EB5084" w:rsidRDefault="00941F07" w:rsidP="005F2C90">
      <w:pPr>
        <w:spacing w:after="240" w:line="240" w:lineRule="auto"/>
        <w:jc w:val="both"/>
        <w:rPr>
          <w:rFonts w:ascii="Arial" w:hAnsi="Arial" w:cs="Arial"/>
        </w:rPr>
      </w:pPr>
      <w:r w:rsidRPr="00EB5084">
        <w:rPr>
          <w:rFonts w:ascii="Arial" w:hAnsi="Arial" w:cs="Arial"/>
        </w:rPr>
        <w:t xml:space="preserve">Disponer de </w:t>
      </w:r>
      <w:r w:rsidR="00F11AE7" w:rsidRPr="00EB5084">
        <w:rPr>
          <w:rFonts w:ascii="Arial" w:hAnsi="Arial" w:cs="Arial"/>
        </w:rPr>
        <w:t xml:space="preserve">información de </w:t>
      </w:r>
      <w:r w:rsidR="005B6361" w:rsidRPr="00EB5084">
        <w:rPr>
          <w:rFonts w:ascii="Arial" w:hAnsi="Arial" w:cs="Arial"/>
        </w:rPr>
        <w:t xml:space="preserve">producción de bienes y servicios </w:t>
      </w:r>
      <w:r w:rsidR="00CD1A6D" w:rsidRPr="00EB5084">
        <w:rPr>
          <w:rFonts w:ascii="Arial" w:hAnsi="Arial" w:cs="Arial"/>
        </w:rPr>
        <w:t>para</w:t>
      </w:r>
      <w:r w:rsidR="0050352E" w:rsidRPr="00EB5084">
        <w:rPr>
          <w:rFonts w:ascii="Arial" w:hAnsi="Arial" w:cs="Arial"/>
        </w:rPr>
        <w:t xml:space="preserve"> </w:t>
      </w:r>
      <w:r w:rsidR="00F11AE7" w:rsidRPr="00EB5084">
        <w:rPr>
          <w:rFonts w:ascii="Arial" w:hAnsi="Arial" w:cs="Arial"/>
        </w:rPr>
        <w:t>elaborar el Producto Interno Bruto a nivel regional y nacional.</w:t>
      </w:r>
    </w:p>
    <w:p w:rsidR="00D76DCB" w:rsidRPr="00EB5084" w:rsidRDefault="00D76DCB" w:rsidP="005F2C90">
      <w:pPr>
        <w:tabs>
          <w:tab w:val="left" w:pos="284"/>
          <w:tab w:val="left" w:pos="1800"/>
          <w:tab w:val="num" w:pos="2722"/>
        </w:tabs>
        <w:spacing w:after="240" w:line="240" w:lineRule="auto"/>
        <w:jc w:val="both"/>
        <w:rPr>
          <w:rFonts w:ascii="Arial" w:hAnsi="Arial" w:cs="Arial"/>
          <w:b/>
        </w:rPr>
      </w:pPr>
      <w:r w:rsidRPr="00EB5084">
        <w:rPr>
          <w:rFonts w:ascii="Arial" w:hAnsi="Arial" w:cs="Arial"/>
          <w:b/>
        </w:rPr>
        <w:t>II. CARACTERIZACIÓN</w:t>
      </w:r>
    </w:p>
    <w:p w:rsidR="00F11AE7" w:rsidRPr="00EB5084" w:rsidRDefault="00D76DCB" w:rsidP="000963B3">
      <w:pPr>
        <w:tabs>
          <w:tab w:val="left" w:pos="1701"/>
        </w:tabs>
        <w:spacing w:after="240"/>
        <w:ind w:left="1276" w:hanging="1058"/>
        <w:jc w:val="both"/>
        <w:rPr>
          <w:rFonts w:ascii="Arial" w:hAnsi="Arial" w:cs="Arial"/>
        </w:rPr>
      </w:pPr>
      <w:r w:rsidRPr="00EB5084">
        <w:rPr>
          <w:rFonts w:ascii="Arial" w:hAnsi="Arial" w:cs="Arial"/>
        </w:rPr>
        <w:t>Universo:</w:t>
      </w:r>
      <w:r w:rsidR="0050352E" w:rsidRPr="00EB5084">
        <w:rPr>
          <w:rFonts w:ascii="Arial" w:hAnsi="Arial" w:cs="Arial"/>
        </w:rPr>
        <w:t xml:space="preserve"> </w:t>
      </w:r>
      <w:r w:rsidR="00F11AE7" w:rsidRPr="00EB5084">
        <w:rPr>
          <w:rFonts w:ascii="Arial" w:hAnsi="Arial" w:cs="Arial"/>
        </w:rPr>
        <w:t xml:space="preserve">  </w:t>
      </w:r>
      <w:r w:rsidR="000963B3" w:rsidRPr="00EB5084">
        <w:rPr>
          <w:rFonts w:ascii="Arial" w:hAnsi="Arial" w:cs="Arial"/>
        </w:rPr>
        <w:t xml:space="preserve">Será reportado por </w:t>
      </w:r>
      <w:r w:rsidR="00F11AE7" w:rsidRPr="00EB5084">
        <w:rPr>
          <w:rFonts w:ascii="Arial" w:hAnsi="Arial" w:cs="Arial"/>
        </w:rPr>
        <w:t>todos los establecimientos enclavados en el municipio que puedan respaldar la declaración de las estadísticas territoriales con el balance de comprobación de saldo u otro registro contable. Se excluyen los establecimientos de las empresas municipales.</w:t>
      </w:r>
    </w:p>
    <w:p w:rsidR="000963B3" w:rsidRPr="00EB5084" w:rsidRDefault="000963B3" w:rsidP="000963B3">
      <w:pPr>
        <w:tabs>
          <w:tab w:val="left" w:pos="567"/>
        </w:tabs>
        <w:spacing w:after="240"/>
        <w:ind w:left="1276"/>
        <w:jc w:val="both"/>
        <w:rPr>
          <w:rFonts w:ascii="Arial" w:hAnsi="Arial" w:cs="Arial"/>
          <w:lang w:val="es-ES_tradnl"/>
        </w:rPr>
      </w:pPr>
      <w:r w:rsidRPr="00EB5084">
        <w:rPr>
          <w:rFonts w:ascii="Arial" w:hAnsi="Arial" w:cs="Arial"/>
          <w:lang w:val="es-ES_tradnl"/>
        </w:rPr>
        <w:t xml:space="preserve">Se entenderá como un </w:t>
      </w:r>
      <w:r w:rsidRPr="00EB5084">
        <w:rPr>
          <w:rFonts w:ascii="Arial" w:hAnsi="Arial" w:cs="Arial"/>
          <w:b/>
          <w:lang w:val="es-ES_tradnl"/>
        </w:rPr>
        <w:t>establecimiento</w:t>
      </w:r>
      <w:r w:rsidRPr="00EB5084">
        <w:rPr>
          <w:rFonts w:ascii="Arial" w:hAnsi="Arial" w:cs="Arial"/>
          <w:lang w:val="es-ES_tradnl"/>
        </w:rPr>
        <w:t xml:space="preserve"> </w:t>
      </w:r>
      <w:r w:rsidRPr="00EB5084">
        <w:rPr>
          <w:rFonts w:ascii="Arial" w:hAnsi="Arial" w:cs="Arial"/>
        </w:rPr>
        <w:t>a</w:t>
      </w:r>
      <w:r w:rsidRPr="00EB5084">
        <w:rPr>
          <w:rFonts w:ascii="Arial" w:hAnsi="Arial" w:cs="Arial"/>
          <w:spacing w:val="5"/>
        </w:rPr>
        <w:t xml:space="preserve"> </w:t>
      </w:r>
      <w:r w:rsidRPr="00EB5084">
        <w:rPr>
          <w:rFonts w:ascii="Arial" w:hAnsi="Arial" w:cs="Arial"/>
        </w:rPr>
        <w:t>u</w:t>
      </w:r>
      <w:r w:rsidRPr="00EB5084">
        <w:rPr>
          <w:rFonts w:ascii="Arial" w:hAnsi="Arial" w:cs="Arial"/>
          <w:spacing w:val="-1"/>
        </w:rPr>
        <w:t>n</w:t>
      </w:r>
      <w:r w:rsidRPr="00EB5084">
        <w:rPr>
          <w:rFonts w:ascii="Arial" w:hAnsi="Arial" w:cs="Arial"/>
        </w:rPr>
        <w:t>a</w:t>
      </w:r>
      <w:r w:rsidRPr="00EB5084">
        <w:rPr>
          <w:rFonts w:ascii="Arial" w:hAnsi="Arial" w:cs="Arial"/>
          <w:spacing w:val="3"/>
        </w:rPr>
        <w:t xml:space="preserve"> </w:t>
      </w:r>
      <w:r w:rsidRPr="00EB5084">
        <w:rPr>
          <w:rFonts w:ascii="Arial" w:hAnsi="Arial" w:cs="Arial"/>
          <w:spacing w:val="2"/>
        </w:rPr>
        <w:t>p</w:t>
      </w:r>
      <w:r w:rsidRPr="00EB5084">
        <w:rPr>
          <w:rFonts w:ascii="Arial" w:hAnsi="Arial" w:cs="Arial"/>
        </w:rPr>
        <w:t>ar</w:t>
      </w:r>
      <w:r w:rsidRPr="00EB5084">
        <w:rPr>
          <w:rFonts w:ascii="Arial" w:hAnsi="Arial" w:cs="Arial"/>
          <w:spacing w:val="3"/>
        </w:rPr>
        <w:t>t</w:t>
      </w:r>
      <w:r w:rsidRPr="00EB5084">
        <w:rPr>
          <w:rFonts w:ascii="Arial" w:hAnsi="Arial" w:cs="Arial"/>
        </w:rPr>
        <w:t>e</w:t>
      </w:r>
      <w:r w:rsidRPr="00EB5084">
        <w:rPr>
          <w:rFonts w:ascii="Arial" w:hAnsi="Arial" w:cs="Arial"/>
          <w:spacing w:val="-1"/>
        </w:rPr>
        <w:t xml:space="preserve"> </w:t>
      </w:r>
      <w:r w:rsidRPr="00EB5084">
        <w:rPr>
          <w:rFonts w:ascii="Arial" w:hAnsi="Arial" w:cs="Arial"/>
          <w:spacing w:val="2"/>
        </w:rPr>
        <w:t>d</w:t>
      </w:r>
      <w:r w:rsidRPr="00EB5084">
        <w:rPr>
          <w:rFonts w:ascii="Arial" w:hAnsi="Arial" w:cs="Arial"/>
        </w:rPr>
        <w:t>e</w:t>
      </w:r>
      <w:r w:rsidRPr="00EB5084">
        <w:rPr>
          <w:rFonts w:ascii="Arial" w:hAnsi="Arial" w:cs="Arial"/>
          <w:spacing w:val="2"/>
        </w:rPr>
        <w:t xml:space="preserve"> u</w:t>
      </w:r>
      <w:r w:rsidRPr="00EB5084">
        <w:rPr>
          <w:rFonts w:ascii="Arial" w:hAnsi="Arial" w:cs="Arial"/>
        </w:rPr>
        <w:t>na</w:t>
      </w:r>
      <w:r w:rsidRPr="00EB5084">
        <w:rPr>
          <w:rFonts w:ascii="Arial" w:hAnsi="Arial" w:cs="Arial"/>
          <w:spacing w:val="3"/>
        </w:rPr>
        <w:t xml:space="preserve"> </w:t>
      </w:r>
      <w:r w:rsidRPr="00EB5084">
        <w:rPr>
          <w:rFonts w:ascii="Arial" w:hAnsi="Arial" w:cs="Arial"/>
        </w:rPr>
        <w:t>e</w:t>
      </w:r>
      <w:r w:rsidRPr="00EB5084">
        <w:rPr>
          <w:rFonts w:ascii="Arial" w:hAnsi="Arial" w:cs="Arial"/>
          <w:spacing w:val="4"/>
        </w:rPr>
        <w:t>m</w:t>
      </w:r>
      <w:r w:rsidRPr="00EB5084">
        <w:rPr>
          <w:rFonts w:ascii="Arial" w:hAnsi="Arial" w:cs="Arial"/>
        </w:rPr>
        <w:t>pre</w:t>
      </w:r>
      <w:r w:rsidRPr="00EB5084">
        <w:rPr>
          <w:rFonts w:ascii="Arial" w:hAnsi="Arial" w:cs="Arial"/>
          <w:spacing w:val="1"/>
        </w:rPr>
        <w:t>s</w:t>
      </w:r>
      <w:r w:rsidRPr="00EB5084">
        <w:rPr>
          <w:rFonts w:ascii="Arial" w:hAnsi="Arial" w:cs="Arial"/>
          <w:spacing w:val="3"/>
        </w:rPr>
        <w:t>a</w:t>
      </w:r>
      <w:r w:rsidRPr="00EB5084">
        <w:rPr>
          <w:rFonts w:ascii="Arial" w:hAnsi="Arial" w:cs="Arial"/>
        </w:rPr>
        <w:t>,</w:t>
      </w:r>
      <w:r w:rsidRPr="00EB5084">
        <w:rPr>
          <w:rFonts w:ascii="Arial" w:hAnsi="Arial" w:cs="Arial"/>
          <w:spacing w:val="-4"/>
        </w:rPr>
        <w:t xml:space="preserve"> </w:t>
      </w:r>
      <w:r w:rsidRPr="00EB5084">
        <w:rPr>
          <w:rFonts w:ascii="Arial" w:hAnsi="Arial" w:cs="Arial"/>
          <w:spacing w:val="1"/>
        </w:rPr>
        <w:t>s</w:t>
      </w:r>
      <w:r w:rsidRPr="00EB5084">
        <w:rPr>
          <w:rFonts w:ascii="Arial" w:hAnsi="Arial" w:cs="Arial"/>
          <w:spacing w:val="-1"/>
        </w:rPr>
        <w:t>i</w:t>
      </w:r>
      <w:r w:rsidRPr="00EB5084">
        <w:rPr>
          <w:rFonts w:ascii="Arial" w:hAnsi="Arial" w:cs="Arial"/>
        </w:rPr>
        <w:t>t</w:t>
      </w:r>
      <w:r w:rsidRPr="00EB5084">
        <w:rPr>
          <w:rFonts w:ascii="Arial" w:hAnsi="Arial" w:cs="Arial"/>
          <w:spacing w:val="2"/>
        </w:rPr>
        <w:t>u</w:t>
      </w:r>
      <w:r w:rsidRPr="00EB5084">
        <w:rPr>
          <w:rFonts w:ascii="Arial" w:hAnsi="Arial" w:cs="Arial"/>
        </w:rPr>
        <w:t>a</w:t>
      </w:r>
      <w:r w:rsidRPr="00EB5084">
        <w:rPr>
          <w:rFonts w:ascii="Arial" w:hAnsi="Arial" w:cs="Arial"/>
          <w:spacing w:val="-1"/>
        </w:rPr>
        <w:t>d</w:t>
      </w:r>
      <w:r w:rsidRPr="00EB5084">
        <w:rPr>
          <w:rFonts w:ascii="Arial" w:hAnsi="Arial" w:cs="Arial"/>
        </w:rPr>
        <w:t>a</w:t>
      </w:r>
      <w:r w:rsidRPr="00EB5084">
        <w:rPr>
          <w:rFonts w:ascii="Arial" w:hAnsi="Arial" w:cs="Arial"/>
          <w:spacing w:val="2"/>
        </w:rPr>
        <w:t xml:space="preserve"> </w:t>
      </w:r>
      <w:r w:rsidRPr="00EB5084">
        <w:rPr>
          <w:rFonts w:ascii="Arial" w:hAnsi="Arial" w:cs="Arial"/>
        </w:rPr>
        <w:t>en</w:t>
      </w:r>
      <w:r w:rsidRPr="00EB5084">
        <w:rPr>
          <w:rFonts w:ascii="Arial" w:hAnsi="Arial" w:cs="Arial"/>
          <w:spacing w:val="4"/>
        </w:rPr>
        <w:t xml:space="preserve"> </w:t>
      </w:r>
      <w:r w:rsidRPr="00EB5084">
        <w:rPr>
          <w:rFonts w:ascii="Arial" w:hAnsi="Arial" w:cs="Arial"/>
        </w:rPr>
        <w:t>un</w:t>
      </w:r>
      <w:r w:rsidRPr="00EB5084">
        <w:rPr>
          <w:rFonts w:ascii="Arial" w:hAnsi="Arial" w:cs="Arial"/>
          <w:spacing w:val="4"/>
        </w:rPr>
        <w:t xml:space="preserve"> </w:t>
      </w:r>
      <w:r w:rsidRPr="00EB5084">
        <w:rPr>
          <w:rFonts w:ascii="Arial" w:hAnsi="Arial" w:cs="Arial"/>
        </w:rPr>
        <w:t>ú</w:t>
      </w:r>
      <w:r w:rsidRPr="00EB5084">
        <w:rPr>
          <w:rFonts w:ascii="Arial" w:hAnsi="Arial" w:cs="Arial"/>
          <w:spacing w:val="1"/>
        </w:rPr>
        <w:t>n</w:t>
      </w:r>
      <w:r w:rsidRPr="00EB5084">
        <w:rPr>
          <w:rFonts w:ascii="Arial" w:hAnsi="Arial" w:cs="Arial"/>
          <w:spacing w:val="-1"/>
        </w:rPr>
        <w:t>i</w:t>
      </w:r>
      <w:r w:rsidRPr="00EB5084">
        <w:rPr>
          <w:rFonts w:ascii="Arial" w:hAnsi="Arial" w:cs="Arial"/>
          <w:spacing w:val="1"/>
        </w:rPr>
        <w:t>c</w:t>
      </w:r>
      <w:r w:rsidRPr="00EB5084">
        <w:rPr>
          <w:rFonts w:ascii="Arial" w:hAnsi="Arial" w:cs="Arial"/>
        </w:rPr>
        <w:t>o</w:t>
      </w:r>
      <w:r w:rsidRPr="00EB5084">
        <w:rPr>
          <w:rFonts w:ascii="Arial" w:hAnsi="Arial" w:cs="Arial"/>
          <w:spacing w:val="-1"/>
        </w:rPr>
        <w:t xml:space="preserve"> </w:t>
      </w:r>
      <w:r w:rsidRPr="00EB5084">
        <w:rPr>
          <w:rFonts w:ascii="Arial" w:hAnsi="Arial" w:cs="Arial"/>
        </w:rPr>
        <w:t>e</w:t>
      </w:r>
      <w:r w:rsidRPr="00EB5084">
        <w:rPr>
          <w:rFonts w:ascii="Arial" w:hAnsi="Arial" w:cs="Arial"/>
          <w:spacing w:val="4"/>
        </w:rPr>
        <w:t>m</w:t>
      </w:r>
      <w:r w:rsidRPr="00EB5084">
        <w:rPr>
          <w:rFonts w:ascii="Arial" w:hAnsi="Arial" w:cs="Arial"/>
        </w:rPr>
        <w:t>p</w:t>
      </w:r>
      <w:r w:rsidRPr="00EB5084">
        <w:rPr>
          <w:rFonts w:ascii="Arial" w:hAnsi="Arial" w:cs="Arial"/>
          <w:spacing w:val="-1"/>
        </w:rPr>
        <w:t>l</w:t>
      </w:r>
      <w:r w:rsidRPr="00EB5084">
        <w:rPr>
          <w:rFonts w:ascii="Arial" w:hAnsi="Arial" w:cs="Arial"/>
          <w:spacing w:val="2"/>
        </w:rPr>
        <w:t>a</w:t>
      </w:r>
      <w:r w:rsidRPr="00EB5084">
        <w:rPr>
          <w:rFonts w:ascii="Arial" w:hAnsi="Arial" w:cs="Arial"/>
          <w:spacing w:val="-1"/>
        </w:rPr>
        <w:t>z</w:t>
      </w:r>
      <w:r w:rsidRPr="00EB5084">
        <w:rPr>
          <w:rFonts w:ascii="Arial" w:hAnsi="Arial" w:cs="Arial"/>
        </w:rPr>
        <w:t>a</w:t>
      </w:r>
      <w:r w:rsidRPr="00EB5084">
        <w:rPr>
          <w:rFonts w:ascii="Arial" w:hAnsi="Arial" w:cs="Arial"/>
          <w:spacing w:val="4"/>
        </w:rPr>
        <w:t>m</w:t>
      </w:r>
      <w:r w:rsidRPr="00EB5084">
        <w:rPr>
          <w:rFonts w:ascii="Arial" w:hAnsi="Arial" w:cs="Arial"/>
          <w:spacing w:val="-1"/>
        </w:rPr>
        <w:t>i</w:t>
      </w:r>
      <w:r w:rsidRPr="00EB5084">
        <w:rPr>
          <w:rFonts w:ascii="Arial" w:hAnsi="Arial" w:cs="Arial"/>
        </w:rPr>
        <w:t>e</w:t>
      </w:r>
      <w:r w:rsidRPr="00EB5084">
        <w:rPr>
          <w:rFonts w:ascii="Arial" w:hAnsi="Arial" w:cs="Arial"/>
          <w:spacing w:val="-1"/>
        </w:rPr>
        <w:t>n</w:t>
      </w:r>
      <w:r w:rsidRPr="00EB5084">
        <w:rPr>
          <w:rFonts w:ascii="Arial" w:hAnsi="Arial" w:cs="Arial"/>
          <w:spacing w:val="2"/>
        </w:rPr>
        <w:t>t</w:t>
      </w:r>
      <w:r w:rsidRPr="00EB5084">
        <w:rPr>
          <w:rFonts w:ascii="Arial" w:hAnsi="Arial" w:cs="Arial"/>
          <w:spacing w:val="4"/>
        </w:rPr>
        <w:t>o</w:t>
      </w:r>
      <w:r w:rsidRPr="00EB5084">
        <w:rPr>
          <w:rFonts w:ascii="Arial" w:hAnsi="Arial" w:cs="Arial"/>
        </w:rPr>
        <w:t>,</w:t>
      </w:r>
      <w:r w:rsidRPr="00EB5084">
        <w:rPr>
          <w:rFonts w:ascii="Arial" w:hAnsi="Arial" w:cs="Arial"/>
          <w:spacing w:val="-10"/>
        </w:rPr>
        <w:t xml:space="preserve"> </w:t>
      </w:r>
      <w:r w:rsidRPr="00EB5084">
        <w:rPr>
          <w:rFonts w:ascii="Arial" w:hAnsi="Arial" w:cs="Arial"/>
          <w:spacing w:val="2"/>
        </w:rPr>
        <w:t>e</w:t>
      </w:r>
      <w:r w:rsidRPr="00EB5084">
        <w:rPr>
          <w:rFonts w:ascii="Arial" w:hAnsi="Arial" w:cs="Arial"/>
        </w:rPr>
        <w:t>n</w:t>
      </w:r>
      <w:r w:rsidRPr="00EB5084">
        <w:rPr>
          <w:rFonts w:ascii="Arial" w:hAnsi="Arial" w:cs="Arial"/>
          <w:spacing w:val="4"/>
        </w:rPr>
        <w:t xml:space="preserve"> </w:t>
      </w:r>
      <w:r w:rsidRPr="00EB5084">
        <w:rPr>
          <w:rFonts w:ascii="Arial" w:hAnsi="Arial" w:cs="Arial"/>
        </w:rPr>
        <w:t>el</w:t>
      </w:r>
      <w:r w:rsidRPr="00EB5084">
        <w:rPr>
          <w:rFonts w:ascii="Arial" w:hAnsi="Arial" w:cs="Arial"/>
          <w:spacing w:val="4"/>
        </w:rPr>
        <w:t xml:space="preserve"> </w:t>
      </w:r>
      <w:r w:rsidRPr="00EB5084">
        <w:rPr>
          <w:rFonts w:ascii="Arial" w:hAnsi="Arial" w:cs="Arial"/>
        </w:rPr>
        <w:t>q</w:t>
      </w:r>
      <w:r w:rsidRPr="00EB5084">
        <w:rPr>
          <w:rFonts w:ascii="Arial" w:hAnsi="Arial" w:cs="Arial"/>
          <w:spacing w:val="1"/>
        </w:rPr>
        <w:t>u</w:t>
      </w:r>
      <w:r w:rsidRPr="00EB5084">
        <w:rPr>
          <w:rFonts w:ascii="Arial" w:hAnsi="Arial" w:cs="Arial"/>
        </w:rPr>
        <w:t>e</w:t>
      </w:r>
      <w:r w:rsidRPr="00EB5084">
        <w:rPr>
          <w:rFonts w:ascii="Arial" w:hAnsi="Arial" w:cs="Arial"/>
          <w:spacing w:val="1"/>
        </w:rPr>
        <w:t xml:space="preserve"> s</w:t>
      </w:r>
      <w:r w:rsidRPr="00EB5084">
        <w:rPr>
          <w:rFonts w:ascii="Arial" w:hAnsi="Arial" w:cs="Arial"/>
          <w:spacing w:val="2"/>
        </w:rPr>
        <w:t>ó</w:t>
      </w:r>
      <w:r w:rsidRPr="00EB5084">
        <w:rPr>
          <w:rFonts w:ascii="Arial" w:hAnsi="Arial" w:cs="Arial"/>
          <w:spacing w:val="-1"/>
        </w:rPr>
        <w:t>l</w:t>
      </w:r>
      <w:r w:rsidRPr="00EB5084">
        <w:rPr>
          <w:rFonts w:ascii="Arial" w:hAnsi="Arial" w:cs="Arial"/>
        </w:rPr>
        <w:t xml:space="preserve">o </w:t>
      </w:r>
      <w:r w:rsidRPr="00EB5084">
        <w:rPr>
          <w:rFonts w:ascii="Arial" w:hAnsi="Arial" w:cs="Arial"/>
          <w:spacing w:val="1"/>
        </w:rPr>
        <w:t>s</w:t>
      </w:r>
      <w:r w:rsidRPr="00EB5084">
        <w:rPr>
          <w:rFonts w:ascii="Arial" w:hAnsi="Arial" w:cs="Arial"/>
        </w:rPr>
        <w:t>e</w:t>
      </w:r>
      <w:r w:rsidRPr="00EB5084">
        <w:rPr>
          <w:rFonts w:ascii="Arial" w:hAnsi="Arial" w:cs="Arial"/>
          <w:spacing w:val="4"/>
        </w:rPr>
        <w:t xml:space="preserve"> </w:t>
      </w:r>
      <w:r w:rsidRPr="00EB5084">
        <w:rPr>
          <w:rFonts w:ascii="Arial" w:hAnsi="Arial" w:cs="Arial"/>
          <w:spacing w:val="1"/>
        </w:rPr>
        <w:t>r</w:t>
      </w:r>
      <w:r w:rsidRPr="00EB5084">
        <w:rPr>
          <w:rFonts w:ascii="Arial" w:hAnsi="Arial" w:cs="Arial"/>
        </w:rPr>
        <w:t>e</w:t>
      </w:r>
      <w:r w:rsidRPr="00EB5084">
        <w:rPr>
          <w:rFonts w:ascii="Arial" w:hAnsi="Arial" w:cs="Arial"/>
          <w:spacing w:val="1"/>
        </w:rPr>
        <w:t>a</w:t>
      </w:r>
      <w:r w:rsidRPr="00EB5084">
        <w:rPr>
          <w:rFonts w:ascii="Arial" w:hAnsi="Arial" w:cs="Arial"/>
          <w:spacing w:val="-1"/>
        </w:rPr>
        <w:t>l</w:t>
      </w:r>
      <w:r w:rsidRPr="00EB5084">
        <w:rPr>
          <w:rFonts w:ascii="Arial" w:hAnsi="Arial" w:cs="Arial"/>
          <w:spacing w:val="1"/>
        </w:rPr>
        <w:t>i</w:t>
      </w:r>
      <w:r w:rsidRPr="00EB5084">
        <w:rPr>
          <w:rFonts w:ascii="Arial" w:hAnsi="Arial" w:cs="Arial"/>
          <w:spacing w:val="-1"/>
        </w:rPr>
        <w:t>z</w:t>
      </w:r>
      <w:r w:rsidRPr="00EB5084">
        <w:rPr>
          <w:rFonts w:ascii="Arial" w:hAnsi="Arial" w:cs="Arial"/>
        </w:rPr>
        <w:t>a u</w:t>
      </w:r>
      <w:r w:rsidRPr="00EB5084">
        <w:rPr>
          <w:rFonts w:ascii="Arial" w:hAnsi="Arial" w:cs="Arial"/>
          <w:spacing w:val="1"/>
        </w:rPr>
        <w:t>n</w:t>
      </w:r>
      <w:r w:rsidRPr="00EB5084">
        <w:rPr>
          <w:rFonts w:ascii="Arial" w:hAnsi="Arial" w:cs="Arial"/>
        </w:rPr>
        <w:t>a a</w:t>
      </w:r>
      <w:r w:rsidRPr="00EB5084">
        <w:rPr>
          <w:rFonts w:ascii="Arial" w:hAnsi="Arial" w:cs="Arial"/>
          <w:spacing w:val="1"/>
        </w:rPr>
        <w:t>c</w:t>
      </w:r>
      <w:r w:rsidRPr="00EB5084">
        <w:rPr>
          <w:rFonts w:ascii="Arial" w:hAnsi="Arial" w:cs="Arial"/>
        </w:rPr>
        <w:t>t</w:t>
      </w:r>
      <w:r w:rsidRPr="00EB5084">
        <w:rPr>
          <w:rFonts w:ascii="Arial" w:hAnsi="Arial" w:cs="Arial"/>
          <w:spacing w:val="-1"/>
        </w:rPr>
        <w:t>i</w:t>
      </w:r>
      <w:r w:rsidRPr="00EB5084">
        <w:rPr>
          <w:rFonts w:ascii="Arial" w:hAnsi="Arial" w:cs="Arial"/>
          <w:spacing w:val="1"/>
        </w:rPr>
        <w:t>v</w:t>
      </w:r>
      <w:r w:rsidRPr="00EB5084">
        <w:rPr>
          <w:rFonts w:ascii="Arial" w:hAnsi="Arial" w:cs="Arial"/>
          <w:spacing w:val="-1"/>
        </w:rPr>
        <w:t>i</w:t>
      </w:r>
      <w:r w:rsidRPr="00EB5084">
        <w:rPr>
          <w:rFonts w:ascii="Arial" w:hAnsi="Arial" w:cs="Arial"/>
          <w:spacing w:val="2"/>
        </w:rPr>
        <w:t>d</w:t>
      </w:r>
      <w:r w:rsidRPr="00EB5084">
        <w:rPr>
          <w:rFonts w:ascii="Arial" w:hAnsi="Arial" w:cs="Arial"/>
        </w:rPr>
        <w:t>ad</w:t>
      </w:r>
      <w:r w:rsidRPr="00EB5084">
        <w:rPr>
          <w:rFonts w:ascii="Arial" w:hAnsi="Arial" w:cs="Arial"/>
          <w:spacing w:val="-9"/>
        </w:rPr>
        <w:t xml:space="preserve"> </w:t>
      </w:r>
      <w:r w:rsidRPr="00EB5084">
        <w:rPr>
          <w:rFonts w:ascii="Arial" w:hAnsi="Arial" w:cs="Arial"/>
        </w:rPr>
        <w:t>p</w:t>
      </w:r>
      <w:r w:rsidRPr="00EB5084">
        <w:rPr>
          <w:rFonts w:ascii="Arial" w:hAnsi="Arial" w:cs="Arial"/>
          <w:spacing w:val="3"/>
        </w:rPr>
        <w:t>r</w:t>
      </w:r>
      <w:r w:rsidRPr="00EB5084">
        <w:rPr>
          <w:rFonts w:ascii="Arial" w:hAnsi="Arial" w:cs="Arial"/>
        </w:rPr>
        <w:t>o</w:t>
      </w:r>
      <w:r w:rsidRPr="00EB5084">
        <w:rPr>
          <w:rFonts w:ascii="Arial" w:hAnsi="Arial" w:cs="Arial"/>
          <w:spacing w:val="-1"/>
        </w:rPr>
        <w:t>d</w:t>
      </w:r>
      <w:r w:rsidRPr="00EB5084">
        <w:rPr>
          <w:rFonts w:ascii="Arial" w:hAnsi="Arial" w:cs="Arial"/>
        </w:rPr>
        <w:t>u</w:t>
      </w:r>
      <w:r w:rsidRPr="00EB5084">
        <w:rPr>
          <w:rFonts w:ascii="Arial" w:hAnsi="Arial" w:cs="Arial"/>
          <w:spacing w:val="1"/>
        </w:rPr>
        <w:t>c</w:t>
      </w:r>
      <w:r w:rsidRPr="00EB5084">
        <w:rPr>
          <w:rFonts w:ascii="Arial" w:hAnsi="Arial" w:cs="Arial"/>
          <w:spacing w:val="2"/>
        </w:rPr>
        <w:t>t</w:t>
      </w:r>
      <w:r w:rsidRPr="00EB5084">
        <w:rPr>
          <w:rFonts w:ascii="Arial" w:hAnsi="Arial" w:cs="Arial"/>
          <w:spacing w:val="-1"/>
        </w:rPr>
        <w:t>i</w:t>
      </w:r>
      <w:r w:rsidRPr="00EB5084">
        <w:rPr>
          <w:rFonts w:ascii="Arial" w:hAnsi="Arial" w:cs="Arial"/>
          <w:spacing w:val="1"/>
        </w:rPr>
        <w:t>v</w:t>
      </w:r>
      <w:r w:rsidRPr="00EB5084">
        <w:rPr>
          <w:rFonts w:ascii="Arial" w:hAnsi="Arial" w:cs="Arial"/>
        </w:rPr>
        <w:t>a</w:t>
      </w:r>
      <w:r w:rsidRPr="00EB5084">
        <w:rPr>
          <w:rFonts w:ascii="Arial" w:hAnsi="Arial" w:cs="Arial"/>
          <w:spacing w:val="-9"/>
        </w:rPr>
        <w:t xml:space="preserve"> </w:t>
      </w:r>
      <w:r w:rsidRPr="00EB5084">
        <w:rPr>
          <w:rFonts w:ascii="Arial" w:hAnsi="Arial" w:cs="Arial"/>
        </w:rPr>
        <w:t>o en</w:t>
      </w:r>
      <w:r w:rsidRPr="00EB5084">
        <w:rPr>
          <w:rFonts w:ascii="Arial" w:hAnsi="Arial" w:cs="Arial"/>
          <w:spacing w:val="-3"/>
        </w:rPr>
        <w:t xml:space="preserve"> </w:t>
      </w:r>
      <w:r w:rsidRPr="00EB5084">
        <w:rPr>
          <w:rFonts w:ascii="Arial" w:hAnsi="Arial" w:cs="Arial"/>
          <w:spacing w:val="2"/>
        </w:rPr>
        <w:t>e</w:t>
      </w:r>
      <w:r w:rsidRPr="00EB5084">
        <w:rPr>
          <w:rFonts w:ascii="Arial" w:hAnsi="Arial" w:cs="Arial"/>
        </w:rPr>
        <w:t>l</w:t>
      </w:r>
      <w:r w:rsidRPr="00EB5084">
        <w:rPr>
          <w:rFonts w:ascii="Arial" w:hAnsi="Arial" w:cs="Arial"/>
          <w:spacing w:val="-1"/>
        </w:rPr>
        <w:t xml:space="preserve"> </w:t>
      </w:r>
      <w:r w:rsidRPr="00EB5084">
        <w:rPr>
          <w:rFonts w:ascii="Arial" w:hAnsi="Arial" w:cs="Arial"/>
        </w:rPr>
        <w:t>q</w:t>
      </w:r>
      <w:r w:rsidRPr="00EB5084">
        <w:rPr>
          <w:rFonts w:ascii="Arial" w:hAnsi="Arial" w:cs="Arial"/>
          <w:spacing w:val="-1"/>
        </w:rPr>
        <w:t>u</w:t>
      </w:r>
      <w:r w:rsidRPr="00EB5084">
        <w:rPr>
          <w:rFonts w:ascii="Arial" w:hAnsi="Arial" w:cs="Arial"/>
        </w:rPr>
        <w:t>e</w:t>
      </w:r>
      <w:r w:rsidRPr="00EB5084">
        <w:rPr>
          <w:rFonts w:ascii="Arial" w:hAnsi="Arial" w:cs="Arial"/>
          <w:spacing w:val="-2"/>
        </w:rPr>
        <w:t xml:space="preserve"> </w:t>
      </w:r>
      <w:r w:rsidRPr="00EB5084">
        <w:rPr>
          <w:rFonts w:ascii="Arial" w:hAnsi="Arial" w:cs="Arial"/>
          <w:spacing w:val="-1"/>
        </w:rPr>
        <w:t>l</w:t>
      </w:r>
      <w:r w:rsidRPr="00EB5084">
        <w:rPr>
          <w:rFonts w:ascii="Arial" w:hAnsi="Arial" w:cs="Arial"/>
        </w:rPr>
        <w:t>a</w:t>
      </w:r>
      <w:r w:rsidRPr="00EB5084">
        <w:rPr>
          <w:rFonts w:ascii="Arial" w:hAnsi="Arial" w:cs="Arial"/>
          <w:spacing w:val="-1"/>
        </w:rPr>
        <w:t xml:space="preserve"> </w:t>
      </w:r>
      <w:r w:rsidRPr="00EB5084">
        <w:rPr>
          <w:rFonts w:ascii="Arial" w:hAnsi="Arial" w:cs="Arial"/>
        </w:rPr>
        <w:t>a</w:t>
      </w:r>
      <w:r w:rsidRPr="00EB5084">
        <w:rPr>
          <w:rFonts w:ascii="Arial" w:hAnsi="Arial" w:cs="Arial"/>
          <w:spacing w:val="1"/>
        </w:rPr>
        <w:t>c</w:t>
      </w:r>
      <w:r w:rsidRPr="00EB5084">
        <w:rPr>
          <w:rFonts w:ascii="Arial" w:hAnsi="Arial" w:cs="Arial"/>
        </w:rPr>
        <w:t>t</w:t>
      </w:r>
      <w:r w:rsidRPr="00EB5084">
        <w:rPr>
          <w:rFonts w:ascii="Arial" w:hAnsi="Arial" w:cs="Arial"/>
          <w:spacing w:val="1"/>
        </w:rPr>
        <w:t>i</w:t>
      </w:r>
      <w:r w:rsidRPr="00EB5084">
        <w:rPr>
          <w:rFonts w:ascii="Arial" w:hAnsi="Arial" w:cs="Arial"/>
          <w:spacing w:val="-1"/>
        </w:rPr>
        <w:t>v</w:t>
      </w:r>
      <w:r w:rsidRPr="00EB5084">
        <w:rPr>
          <w:rFonts w:ascii="Arial" w:hAnsi="Arial" w:cs="Arial"/>
          <w:spacing w:val="1"/>
        </w:rPr>
        <w:t>i</w:t>
      </w:r>
      <w:r w:rsidRPr="00EB5084">
        <w:rPr>
          <w:rFonts w:ascii="Arial" w:hAnsi="Arial" w:cs="Arial"/>
        </w:rPr>
        <w:t>d</w:t>
      </w:r>
      <w:r w:rsidRPr="00EB5084">
        <w:rPr>
          <w:rFonts w:ascii="Arial" w:hAnsi="Arial" w:cs="Arial"/>
          <w:spacing w:val="-1"/>
        </w:rPr>
        <w:t>a</w:t>
      </w:r>
      <w:r w:rsidRPr="00EB5084">
        <w:rPr>
          <w:rFonts w:ascii="Arial" w:hAnsi="Arial" w:cs="Arial"/>
        </w:rPr>
        <w:t>d</w:t>
      </w:r>
      <w:r w:rsidRPr="00EB5084">
        <w:rPr>
          <w:rFonts w:ascii="Arial" w:hAnsi="Arial" w:cs="Arial"/>
          <w:spacing w:val="-7"/>
        </w:rPr>
        <w:t xml:space="preserve"> </w:t>
      </w:r>
      <w:r w:rsidRPr="00EB5084">
        <w:rPr>
          <w:rFonts w:ascii="Arial" w:hAnsi="Arial" w:cs="Arial"/>
        </w:rPr>
        <w:t>pro</w:t>
      </w:r>
      <w:r w:rsidRPr="00EB5084">
        <w:rPr>
          <w:rFonts w:ascii="Arial" w:hAnsi="Arial" w:cs="Arial"/>
          <w:spacing w:val="2"/>
        </w:rPr>
        <w:t>d</w:t>
      </w:r>
      <w:r w:rsidRPr="00EB5084">
        <w:rPr>
          <w:rFonts w:ascii="Arial" w:hAnsi="Arial" w:cs="Arial"/>
        </w:rPr>
        <w:t>u</w:t>
      </w:r>
      <w:r w:rsidRPr="00EB5084">
        <w:rPr>
          <w:rFonts w:ascii="Arial" w:hAnsi="Arial" w:cs="Arial"/>
          <w:spacing w:val="1"/>
        </w:rPr>
        <w:t>c</w:t>
      </w:r>
      <w:r w:rsidRPr="00EB5084">
        <w:rPr>
          <w:rFonts w:ascii="Arial" w:hAnsi="Arial" w:cs="Arial"/>
        </w:rPr>
        <w:t>t</w:t>
      </w:r>
      <w:r w:rsidRPr="00EB5084">
        <w:rPr>
          <w:rFonts w:ascii="Arial" w:hAnsi="Arial" w:cs="Arial"/>
          <w:spacing w:val="1"/>
        </w:rPr>
        <w:t>i</w:t>
      </w:r>
      <w:r w:rsidRPr="00EB5084">
        <w:rPr>
          <w:rFonts w:ascii="Arial" w:hAnsi="Arial" w:cs="Arial"/>
          <w:spacing w:val="-1"/>
        </w:rPr>
        <w:t>v</w:t>
      </w:r>
      <w:r w:rsidRPr="00EB5084">
        <w:rPr>
          <w:rFonts w:ascii="Arial" w:hAnsi="Arial" w:cs="Arial"/>
        </w:rPr>
        <w:t>a</w:t>
      </w:r>
      <w:r w:rsidRPr="00EB5084">
        <w:rPr>
          <w:rFonts w:ascii="Arial" w:hAnsi="Arial" w:cs="Arial"/>
          <w:spacing w:val="-7"/>
        </w:rPr>
        <w:t xml:space="preserve"> </w:t>
      </w:r>
      <w:r w:rsidRPr="00EB5084">
        <w:rPr>
          <w:rFonts w:ascii="Arial" w:hAnsi="Arial" w:cs="Arial"/>
        </w:rPr>
        <w:t>pr</w:t>
      </w:r>
      <w:r w:rsidRPr="00EB5084">
        <w:rPr>
          <w:rFonts w:ascii="Arial" w:hAnsi="Arial" w:cs="Arial"/>
          <w:spacing w:val="-1"/>
        </w:rPr>
        <w:t>i</w:t>
      </w:r>
      <w:r w:rsidRPr="00EB5084">
        <w:rPr>
          <w:rFonts w:ascii="Arial" w:hAnsi="Arial" w:cs="Arial"/>
        </w:rPr>
        <w:t>n</w:t>
      </w:r>
      <w:r w:rsidRPr="00EB5084">
        <w:rPr>
          <w:rFonts w:ascii="Arial" w:hAnsi="Arial" w:cs="Arial"/>
          <w:spacing w:val="1"/>
        </w:rPr>
        <w:t>ci</w:t>
      </w:r>
      <w:r w:rsidRPr="00EB5084">
        <w:rPr>
          <w:rFonts w:ascii="Arial" w:hAnsi="Arial" w:cs="Arial"/>
        </w:rPr>
        <w:t>p</w:t>
      </w:r>
      <w:r w:rsidRPr="00EB5084">
        <w:rPr>
          <w:rFonts w:ascii="Arial" w:hAnsi="Arial" w:cs="Arial"/>
          <w:spacing w:val="1"/>
        </w:rPr>
        <w:t>a</w:t>
      </w:r>
      <w:r w:rsidRPr="00EB5084">
        <w:rPr>
          <w:rFonts w:ascii="Arial" w:hAnsi="Arial" w:cs="Arial"/>
        </w:rPr>
        <w:t>l</w:t>
      </w:r>
      <w:r w:rsidRPr="00EB5084">
        <w:rPr>
          <w:rFonts w:ascii="Arial" w:hAnsi="Arial" w:cs="Arial"/>
          <w:spacing w:val="-8"/>
        </w:rPr>
        <w:t xml:space="preserve"> </w:t>
      </w:r>
      <w:r w:rsidRPr="00EB5084">
        <w:rPr>
          <w:rFonts w:ascii="Arial" w:hAnsi="Arial" w:cs="Arial"/>
        </w:rPr>
        <w:t>re</w:t>
      </w:r>
      <w:r w:rsidRPr="00EB5084">
        <w:rPr>
          <w:rFonts w:ascii="Arial" w:hAnsi="Arial" w:cs="Arial"/>
          <w:spacing w:val="-1"/>
        </w:rPr>
        <w:t>p</w:t>
      </w:r>
      <w:r w:rsidRPr="00EB5084">
        <w:rPr>
          <w:rFonts w:ascii="Arial" w:hAnsi="Arial" w:cs="Arial"/>
          <w:spacing w:val="1"/>
        </w:rPr>
        <w:t>r</w:t>
      </w:r>
      <w:r w:rsidRPr="00EB5084">
        <w:rPr>
          <w:rFonts w:ascii="Arial" w:hAnsi="Arial" w:cs="Arial"/>
        </w:rPr>
        <w:t>e</w:t>
      </w:r>
      <w:r w:rsidRPr="00EB5084">
        <w:rPr>
          <w:rFonts w:ascii="Arial" w:hAnsi="Arial" w:cs="Arial"/>
          <w:spacing w:val="1"/>
        </w:rPr>
        <w:t>s</w:t>
      </w:r>
      <w:r w:rsidRPr="00EB5084">
        <w:rPr>
          <w:rFonts w:ascii="Arial" w:hAnsi="Arial" w:cs="Arial"/>
          <w:spacing w:val="2"/>
        </w:rPr>
        <w:t>e</w:t>
      </w:r>
      <w:r w:rsidRPr="00EB5084">
        <w:rPr>
          <w:rFonts w:ascii="Arial" w:hAnsi="Arial" w:cs="Arial"/>
        </w:rPr>
        <w:t>nta</w:t>
      </w:r>
      <w:r w:rsidRPr="00EB5084">
        <w:rPr>
          <w:rFonts w:ascii="Arial" w:hAnsi="Arial" w:cs="Arial"/>
          <w:spacing w:val="-9"/>
        </w:rPr>
        <w:t xml:space="preserve"> </w:t>
      </w:r>
      <w:r w:rsidRPr="00EB5084">
        <w:rPr>
          <w:rFonts w:ascii="Arial" w:hAnsi="Arial" w:cs="Arial"/>
          <w:spacing w:val="-1"/>
        </w:rPr>
        <w:t>l</w:t>
      </w:r>
      <w:r w:rsidRPr="00EB5084">
        <w:rPr>
          <w:rFonts w:ascii="Arial" w:hAnsi="Arial" w:cs="Arial"/>
        </w:rPr>
        <w:t>a</w:t>
      </w:r>
      <w:r w:rsidRPr="00EB5084">
        <w:rPr>
          <w:rFonts w:ascii="Arial" w:hAnsi="Arial" w:cs="Arial"/>
          <w:spacing w:val="-2"/>
        </w:rPr>
        <w:t xml:space="preserve"> </w:t>
      </w:r>
      <w:r w:rsidRPr="00EB5084">
        <w:rPr>
          <w:rFonts w:ascii="Arial" w:hAnsi="Arial" w:cs="Arial"/>
          <w:spacing w:val="4"/>
        </w:rPr>
        <w:t>m</w:t>
      </w:r>
      <w:r w:rsidRPr="00EB5084">
        <w:rPr>
          <w:rFonts w:ascii="Arial" w:hAnsi="Arial" w:cs="Arial"/>
        </w:rPr>
        <w:t>a</w:t>
      </w:r>
      <w:r w:rsidRPr="00EB5084">
        <w:rPr>
          <w:rFonts w:ascii="Arial" w:hAnsi="Arial" w:cs="Arial"/>
          <w:spacing w:val="-4"/>
        </w:rPr>
        <w:t>y</w:t>
      </w:r>
      <w:r w:rsidRPr="00EB5084">
        <w:rPr>
          <w:rFonts w:ascii="Arial" w:hAnsi="Arial" w:cs="Arial"/>
          <w:spacing w:val="2"/>
        </w:rPr>
        <w:t>o</w:t>
      </w:r>
      <w:r w:rsidRPr="00EB5084">
        <w:rPr>
          <w:rFonts w:ascii="Arial" w:hAnsi="Arial" w:cs="Arial"/>
        </w:rPr>
        <w:t>r</w:t>
      </w:r>
      <w:r w:rsidRPr="00EB5084">
        <w:rPr>
          <w:rFonts w:ascii="Arial" w:hAnsi="Arial" w:cs="Arial"/>
          <w:spacing w:val="3"/>
        </w:rPr>
        <w:t xml:space="preserve"> </w:t>
      </w:r>
      <w:r w:rsidRPr="00EB5084">
        <w:rPr>
          <w:rFonts w:ascii="Arial" w:hAnsi="Arial" w:cs="Arial"/>
          <w:spacing w:val="2"/>
        </w:rPr>
        <w:t>p</w:t>
      </w:r>
      <w:r w:rsidRPr="00EB5084">
        <w:rPr>
          <w:rFonts w:ascii="Arial" w:hAnsi="Arial" w:cs="Arial"/>
        </w:rPr>
        <w:t>arte</w:t>
      </w:r>
      <w:r w:rsidRPr="00EB5084">
        <w:rPr>
          <w:rFonts w:ascii="Arial" w:hAnsi="Arial" w:cs="Arial"/>
          <w:spacing w:val="-5"/>
        </w:rPr>
        <w:t xml:space="preserve"> </w:t>
      </w:r>
      <w:r w:rsidRPr="00EB5084">
        <w:rPr>
          <w:rFonts w:ascii="Arial" w:hAnsi="Arial" w:cs="Arial"/>
          <w:spacing w:val="2"/>
        </w:rPr>
        <w:t>d</w:t>
      </w:r>
      <w:r w:rsidRPr="00EB5084">
        <w:rPr>
          <w:rFonts w:ascii="Arial" w:hAnsi="Arial" w:cs="Arial"/>
        </w:rPr>
        <w:t>el</w:t>
      </w:r>
      <w:r w:rsidRPr="00EB5084">
        <w:rPr>
          <w:rFonts w:ascii="Arial" w:hAnsi="Arial" w:cs="Arial"/>
          <w:spacing w:val="-3"/>
        </w:rPr>
        <w:t xml:space="preserve"> </w:t>
      </w:r>
      <w:r w:rsidRPr="00EB5084">
        <w:rPr>
          <w:rFonts w:ascii="Arial" w:hAnsi="Arial" w:cs="Arial"/>
          <w:spacing w:val="-1"/>
        </w:rPr>
        <w:t>v</w:t>
      </w:r>
      <w:r w:rsidRPr="00EB5084">
        <w:rPr>
          <w:rFonts w:ascii="Arial" w:hAnsi="Arial" w:cs="Arial"/>
          <w:spacing w:val="2"/>
        </w:rPr>
        <w:t>a</w:t>
      </w:r>
      <w:r w:rsidRPr="00EB5084">
        <w:rPr>
          <w:rFonts w:ascii="Arial" w:hAnsi="Arial" w:cs="Arial"/>
          <w:spacing w:val="-1"/>
        </w:rPr>
        <w:t>l</w:t>
      </w:r>
      <w:r w:rsidRPr="00EB5084">
        <w:rPr>
          <w:rFonts w:ascii="Arial" w:hAnsi="Arial" w:cs="Arial"/>
        </w:rPr>
        <w:t>or</w:t>
      </w:r>
      <w:r w:rsidRPr="00EB5084">
        <w:rPr>
          <w:rFonts w:ascii="Arial" w:hAnsi="Arial" w:cs="Arial"/>
          <w:spacing w:val="-2"/>
        </w:rPr>
        <w:t xml:space="preserve"> </w:t>
      </w:r>
      <w:r w:rsidRPr="00EB5084">
        <w:rPr>
          <w:rFonts w:ascii="Arial" w:hAnsi="Arial" w:cs="Arial"/>
        </w:rPr>
        <w:t>a</w:t>
      </w:r>
      <w:r w:rsidRPr="00EB5084">
        <w:rPr>
          <w:rFonts w:ascii="Arial" w:hAnsi="Arial" w:cs="Arial"/>
          <w:spacing w:val="-1"/>
        </w:rPr>
        <w:t>g</w:t>
      </w:r>
      <w:r w:rsidRPr="00EB5084">
        <w:rPr>
          <w:rFonts w:ascii="Arial" w:hAnsi="Arial" w:cs="Arial"/>
          <w:spacing w:val="1"/>
        </w:rPr>
        <w:t>r</w:t>
      </w:r>
      <w:r w:rsidRPr="00EB5084">
        <w:rPr>
          <w:rFonts w:ascii="Arial" w:hAnsi="Arial" w:cs="Arial"/>
        </w:rPr>
        <w:t>e</w:t>
      </w:r>
      <w:r w:rsidRPr="00EB5084">
        <w:rPr>
          <w:rFonts w:ascii="Arial" w:hAnsi="Arial" w:cs="Arial"/>
          <w:spacing w:val="1"/>
        </w:rPr>
        <w:t>g</w:t>
      </w:r>
      <w:r w:rsidRPr="00EB5084">
        <w:rPr>
          <w:rFonts w:ascii="Arial" w:hAnsi="Arial" w:cs="Arial"/>
        </w:rPr>
        <w:t>a</w:t>
      </w:r>
      <w:r w:rsidRPr="00EB5084">
        <w:rPr>
          <w:rFonts w:ascii="Arial" w:hAnsi="Arial" w:cs="Arial"/>
          <w:spacing w:val="1"/>
        </w:rPr>
        <w:t>d</w:t>
      </w:r>
      <w:r w:rsidRPr="00EB5084">
        <w:rPr>
          <w:rFonts w:ascii="Arial" w:hAnsi="Arial" w:cs="Arial"/>
        </w:rPr>
        <w:t>o.</w:t>
      </w:r>
    </w:p>
    <w:p w:rsidR="000963B3" w:rsidRPr="00EB5084" w:rsidRDefault="000963B3" w:rsidP="000963B3">
      <w:pPr>
        <w:tabs>
          <w:tab w:val="left" w:pos="567"/>
        </w:tabs>
        <w:spacing w:after="240"/>
        <w:ind w:left="1276" w:hanging="425"/>
        <w:jc w:val="both"/>
        <w:rPr>
          <w:rFonts w:ascii="Arial" w:hAnsi="Arial" w:cs="Arial"/>
        </w:rPr>
      </w:pPr>
      <w:r w:rsidRPr="00EB5084">
        <w:rPr>
          <w:rFonts w:ascii="Arial" w:hAnsi="Arial" w:cs="Arial"/>
        </w:rPr>
        <w:t xml:space="preserve">       La oficina central de la ONEI definirá aquellos establecimientos, que por su importancia  en la actividad económica del país o en el territorio, dispondrá de su información al cierre de cada año. Esos establecimientos denominados como de inclusión forzosa, deben ser objeto de especial atención en cuanto a su cobertura y calidad.</w:t>
      </w:r>
    </w:p>
    <w:p w:rsidR="00F11AE7" w:rsidRPr="00EB5084" w:rsidRDefault="006815C7" w:rsidP="00F11AE7">
      <w:pPr>
        <w:tabs>
          <w:tab w:val="left" w:pos="1701"/>
        </w:tabs>
        <w:spacing w:after="240"/>
        <w:ind w:left="1276" w:hanging="1058"/>
        <w:jc w:val="both"/>
        <w:rPr>
          <w:rFonts w:ascii="Arial" w:hAnsi="Arial" w:cs="Arial"/>
          <w:b/>
        </w:rPr>
      </w:pPr>
      <w:r w:rsidRPr="00EB5084">
        <w:rPr>
          <w:rFonts w:ascii="Arial" w:hAnsi="Arial" w:cs="Arial"/>
        </w:rPr>
        <w:t xml:space="preserve"> </w:t>
      </w:r>
      <w:r w:rsidR="00D76DCB" w:rsidRPr="00EB5084">
        <w:rPr>
          <w:rFonts w:ascii="Arial" w:hAnsi="Arial" w:cs="Arial"/>
        </w:rPr>
        <w:t xml:space="preserve">Periodicidad: </w:t>
      </w:r>
      <w:r w:rsidR="004C52A8" w:rsidRPr="00EB5084">
        <w:rPr>
          <w:rFonts w:ascii="Arial" w:hAnsi="Arial" w:cs="Arial"/>
        </w:rPr>
        <w:t>Anual</w:t>
      </w:r>
    </w:p>
    <w:p w:rsidR="00D76DCB" w:rsidRPr="00EB5084" w:rsidRDefault="00D76DCB" w:rsidP="005F2C90">
      <w:pPr>
        <w:tabs>
          <w:tab w:val="left" w:pos="284"/>
          <w:tab w:val="left" w:pos="1800"/>
        </w:tabs>
        <w:spacing w:after="240" w:line="240" w:lineRule="auto"/>
        <w:jc w:val="both"/>
        <w:rPr>
          <w:rFonts w:ascii="Arial" w:hAnsi="Arial" w:cs="Arial"/>
        </w:rPr>
      </w:pPr>
      <w:r w:rsidRPr="00EB5084">
        <w:rPr>
          <w:rFonts w:ascii="Arial" w:hAnsi="Arial" w:cs="Arial"/>
          <w:b/>
        </w:rPr>
        <w:t>III. INSTRUCCIONES GENERALES</w:t>
      </w:r>
    </w:p>
    <w:p w:rsidR="00B6432A" w:rsidRPr="00EB5084" w:rsidRDefault="00B6432A" w:rsidP="00B6432A">
      <w:pPr>
        <w:tabs>
          <w:tab w:val="left" w:pos="284"/>
          <w:tab w:val="left" w:pos="1800"/>
        </w:tabs>
        <w:spacing w:after="240" w:line="240" w:lineRule="auto"/>
        <w:jc w:val="both"/>
        <w:rPr>
          <w:rFonts w:ascii="Arial" w:eastAsia="Calibri" w:hAnsi="Arial" w:cs="Arial"/>
          <w:lang w:eastAsia="en-US"/>
        </w:rPr>
      </w:pPr>
      <w:r w:rsidRPr="00EB5084">
        <w:rPr>
          <w:rFonts w:ascii="Arial" w:eastAsia="Calibri" w:hAnsi="Arial" w:cs="Arial"/>
          <w:lang w:eastAsia="en-US"/>
        </w:rPr>
        <w:t>A este formulario le es aplicable la Instrucción General No. 1.</w:t>
      </w:r>
    </w:p>
    <w:p w:rsidR="00D76DCB" w:rsidRPr="00EB5084" w:rsidRDefault="00D76DCB" w:rsidP="005F2C90">
      <w:pPr>
        <w:tabs>
          <w:tab w:val="left" w:pos="284"/>
          <w:tab w:val="left" w:pos="1800"/>
        </w:tabs>
        <w:spacing w:after="240" w:line="240" w:lineRule="auto"/>
        <w:jc w:val="both"/>
        <w:rPr>
          <w:rFonts w:ascii="Arial" w:hAnsi="Arial" w:cs="Arial"/>
        </w:rPr>
      </w:pPr>
      <w:r w:rsidRPr="00EB5084">
        <w:rPr>
          <w:rFonts w:ascii="Arial" w:hAnsi="Arial" w:cs="Arial"/>
          <w:b/>
        </w:rPr>
        <w:t>IV. DEFINICIONES METODOLÓGICAS</w:t>
      </w:r>
    </w:p>
    <w:p w:rsidR="00D76DCB" w:rsidRPr="00EB5084" w:rsidRDefault="00CA1B3D" w:rsidP="005F2C90">
      <w:pPr>
        <w:spacing w:after="240" w:line="240" w:lineRule="auto"/>
        <w:jc w:val="both"/>
        <w:rPr>
          <w:rFonts w:ascii="Arial" w:hAnsi="Arial" w:cs="Arial"/>
          <w:u w:val="single"/>
        </w:rPr>
      </w:pPr>
      <w:r w:rsidRPr="00EB5084">
        <w:rPr>
          <w:rFonts w:ascii="Arial" w:hAnsi="Arial" w:cs="Arial"/>
          <w:u w:val="single"/>
        </w:rPr>
        <w:t>Indicadores</w:t>
      </w:r>
      <w:r w:rsidR="00D76DCB" w:rsidRPr="00EB5084">
        <w:rPr>
          <w:rFonts w:ascii="Arial" w:hAnsi="Arial" w:cs="Arial"/>
          <w:u w:val="single"/>
        </w:rPr>
        <w:t xml:space="preserve"> (columna A)</w:t>
      </w:r>
    </w:p>
    <w:p w:rsidR="00C56064" w:rsidRPr="00EB5084" w:rsidRDefault="00C56064" w:rsidP="005F2C90">
      <w:pPr>
        <w:spacing w:after="240" w:line="240" w:lineRule="auto"/>
        <w:jc w:val="both"/>
        <w:rPr>
          <w:rFonts w:ascii="Arial" w:hAnsi="Arial" w:cs="Arial"/>
        </w:rPr>
      </w:pPr>
      <w:r w:rsidRPr="00EB5084">
        <w:rPr>
          <w:rFonts w:ascii="Arial" w:hAnsi="Arial" w:cs="Arial"/>
        </w:rPr>
        <w:t xml:space="preserve">Aparecen relacionados en la columna A los indicadores de los cuales se requiere información. </w:t>
      </w:r>
    </w:p>
    <w:p w:rsidR="00D76DCB" w:rsidRPr="00EB5084" w:rsidRDefault="00C56064" w:rsidP="005F2C90">
      <w:pPr>
        <w:spacing w:after="240" w:line="240" w:lineRule="auto"/>
        <w:jc w:val="both"/>
        <w:rPr>
          <w:rFonts w:ascii="Arial" w:hAnsi="Arial" w:cs="Arial"/>
          <w:u w:val="single"/>
        </w:rPr>
      </w:pPr>
      <w:r w:rsidRPr="00EB5084">
        <w:rPr>
          <w:rFonts w:ascii="Arial" w:hAnsi="Arial" w:cs="Arial"/>
          <w:u w:val="single"/>
        </w:rPr>
        <w:t>Código</w:t>
      </w:r>
      <w:r w:rsidR="00D76DCB" w:rsidRPr="00EB5084">
        <w:rPr>
          <w:rFonts w:ascii="Arial" w:hAnsi="Arial" w:cs="Arial"/>
          <w:u w:val="single"/>
        </w:rPr>
        <w:t xml:space="preserve"> (columna B)</w:t>
      </w:r>
    </w:p>
    <w:p w:rsidR="00C56064" w:rsidRPr="00EB5084" w:rsidRDefault="00A4711F" w:rsidP="005F2C90">
      <w:pPr>
        <w:spacing w:after="240" w:line="240" w:lineRule="auto"/>
        <w:jc w:val="both"/>
        <w:rPr>
          <w:rFonts w:ascii="Arial" w:hAnsi="Arial" w:cs="Arial"/>
        </w:rPr>
      </w:pPr>
      <w:r w:rsidRPr="00EB5084">
        <w:rPr>
          <w:rFonts w:ascii="Arial" w:hAnsi="Arial" w:cs="Arial"/>
        </w:rPr>
        <w:t>C</w:t>
      </w:r>
      <w:r w:rsidR="00C56064" w:rsidRPr="00EB5084">
        <w:rPr>
          <w:rFonts w:ascii="Arial" w:hAnsi="Arial" w:cs="Arial"/>
        </w:rPr>
        <w:t xml:space="preserve">ódigo </w:t>
      </w:r>
      <w:r w:rsidR="00721C1A" w:rsidRPr="00EB5084">
        <w:rPr>
          <w:rFonts w:ascii="Arial" w:hAnsi="Arial" w:cs="Arial"/>
        </w:rPr>
        <w:t>que identifica la</w:t>
      </w:r>
      <w:r w:rsidR="00C56064" w:rsidRPr="00EB5084">
        <w:rPr>
          <w:rFonts w:ascii="Arial" w:hAnsi="Arial" w:cs="Arial"/>
        </w:rPr>
        <w:t xml:space="preserve"> fila correspondiente a cada indicador. </w:t>
      </w:r>
    </w:p>
    <w:p w:rsidR="00D76DCB" w:rsidRPr="00EB5084" w:rsidRDefault="0050352E" w:rsidP="005F2C90">
      <w:pPr>
        <w:spacing w:after="240" w:line="240" w:lineRule="auto"/>
        <w:jc w:val="both"/>
        <w:rPr>
          <w:rFonts w:ascii="Arial" w:hAnsi="Arial" w:cs="Arial"/>
          <w:u w:val="single"/>
        </w:rPr>
      </w:pPr>
      <w:r w:rsidRPr="00EB5084">
        <w:rPr>
          <w:rFonts w:ascii="Arial" w:hAnsi="Arial" w:cs="Arial"/>
          <w:u w:val="single"/>
        </w:rPr>
        <w:t xml:space="preserve">Real hasta la fecha </w:t>
      </w:r>
      <w:r w:rsidR="003A0933" w:rsidRPr="00EB5084">
        <w:rPr>
          <w:rFonts w:ascii="Arial" w:hAnsi="Arial" w:cs="Arial"/>
          <w:u w:val="single"/>
        </w:rPr>
        <w:t>(columna 1)</w:t>
      </w:r>
    </w:p>
    <w:p w:rsidR="003A0933" w:rsidRPr="00EB5084" w:rsidRDefault="00881BA0" w:rsidP="005F2C90">
      <w:pPr>
        <w:spacing w:after="240" w:line="240" w:lineRule="auto"/>
        <w:jc w:val="both"/>
        <w:rPr>
          <w:rFonts w:ascii="Arial" w:hAnsi="Arial" w:cs="Arial"/>
        </w:rPr>
      </w:pPr>
      <w:r w:rsidRPr="00EB5084">
        <w:rPr>
          <w:rFonts w:ascii="Arial" w:hAnsi="Arial" w:cs="Arial"/>
        </w:rPr>
        <w:t xml:space="preserve">Se registra </w:t>
      </w:r>
      <w:r w:rsidR="00C56064" w:rsidRPr="00EB5084">
        <w:rPr>
          <w:rFonts w:ascii="Arial" w:hAnsi="Arial" w:cs="Arial"/>
        </w:rPr>
        <w:t>el valor correspondiente a</w:t>
      </w:r>
      <w:r w:rsidR="0050352E" w:rsidRPr="00EB5084">
        <w:rPr>
          <w:rFonts w:ascii="Arial" w:hAnsi="Arial" w:cs="Arial"/>
        </w:rPr>
        <w:t xml:space="preserve"> </w:t>
      </w:r>
      <w:r w:rsidR="00C56064" w:rsidRPr="00EB5084">
        <w:rPr>
          <w:rFonts w:ascii="Arial" w:hAnsi="Arial" w:cs="Arial"/>
        </w:rPr>
        <w:t>cada indicador</w:t>
      </w:r>
      <w:r w:rsidR="0014505A" w:rsidRPr="00EB5084">
        <w:rPr>
          <w:rFonts w:ascii="Arial" w:hAnsi="Arial" w:cs="Arial"/>
        </w:rPr>
        <w:t xml:space="preserve"> en pesos (P) con dos decimales</w:t>
      </w:r>
      <w:r w:rsidR="00C56064" w:rsidRPr="00EB5084">
        <w:rPr>
          <w:rFonts w:ascii="Arial" w:hAnsi="Arial" w:cs="Arial"/>
        </w:rPr>
        <w:t>.</w:t>
      </w:r>
    </w:p>
    <w:p w:rsidR="00585473" w:rsidRPr="00EB5084" w:rsidRDefault="00585473">
      <w:pPr>
        <w:spacing w:after="0" w:line="240" w:lineRule="auto"/>
        <w:rPr>
          <w:rFonts w:ascii="Arial" w:hAnsi="Arial" w:cs="Arial"/>
        </w:rPr>
      </w:pPr>
      <w:r w:rsidRPr="00EB5084">
        <w:rPr>
          <w:rFonts w:ascii="Arial" w:hAnsi="Arial" w:cs="Arial"/>
        </w:rPr>
        <w:br w:type="page"/>
      </w:r>
    </w:p>
    <w:p w:rsidR="00585473" w:rsidRPr="00EB5084" w:rsidRDefault="00585473" w:rsidP="00585473">
      <w:pPr>
        <w:tabs>
          <w:tab w:val="left" w:pos="284"/>
          <w:tab w:val="left" w:pos="1800"/>
        </w:tabs>
        <w:spacing w:after="240" w:line="240" w:lineRule="auto"/>
        <w:jc w:val="both"/>
        <w:rPr>
          <w:rFonts w:ascii="Arial" w:hAnsi="Arial" w:cs="Arial"/>
        </w:rPr>
      </w:pPr>
      <w:r w:rsidRPr="00EB5084">
        <w:rPr>
          <w:rFonts w:ascii="Arial" w:hAnsi="Arial" w:cs="Arial"/>
          <w:u w:val="single"/>
        </w:rPr>
        <w:lastRenderedPageBreak/>
        <w:t>Ventas netas de bienes y servicios</w:t>
      </w:r>
      <w:r w:rsidRPr="00EB5084">
        <w:rPr>
          <w:rFonts w:ascii="Arial" w:hAnsi="Arial" w:cs="Arial"/>
        </w:rPr>
        <w:t xml:space="preserve">: </w:t>
      </w:r>
    </w:p>
    <w:p w:rsidR="00585473" w:rsidRPr="00EB5084" w:rsidRDefault="00585473" w:rsidP="00585473">
      <w:pPr>
        <w:tabs>
          <w:tab w:val="left" w:pos="284"/>
          <w:tab w:val="left" w:pos="1800"/>
        </w:tabs>
        <w:spacing w:after="240" w:line="240" w:lineRule="auto"/>
        <w:jc w:val="both"/>
        <w:rPr>
          <w:rFonts w:ascii="Arial" w:hAnsi="Arial" w:cs="Arial"/>
        </w:rPr>
      </w:pPr>
      <w:r w:rsidRPr="00EB5084">
        <w:rPr>
          <w:rFonts w:ascii="Arial" w:hAnsi="Arial" w:cs="Arial"/>
        </w:rPr>
        <w:t>Se inscribe el valor de la cuenta Ventas netas, reportado en el EFAE 5921 fila 07 más el valor de la cuenta Otros ingresos EFAE 5921 fila 38</w:t>
      </w:r>
      <w:r w:rsidR="00FE56CE" w:rsidRPr="00EB5084">
        <w:rPr>
          <w:rFonts w:ascii="Arial" w:hAnsi="Arial" w:cs="Arial"/>
        </w:rPr>
        <w:t>, saldo de las cuentas del rango 950 a 952.</w:t>
      </w:r>
    </w:p>
    <w:p w:rsidR="00585473" w:rsidRPr="00EB5084" w:rsidRDefault="00585473" w:rsidP="00585473">
      <w:pPr>
        <w:autoSpaceDE w:val="0"/>
        <w:autoSpaceDN w:val="0"/>
        <w:adjustRightInd w:val="0"/>
        <w:spacing w:after="240" w:line="240" w:lineRule="auto"/>
        <w:jc w:val="both"/>
        <w:rPr>
          <w:rFonts w:ascii="Arial" w:hAnsi="Arial" w:cs="Arial"/>
        </w:rPr>
      </w:pPr>
      <w:r w:rsidRPr="00EB5084">
        <w:rPr>
          <w:rFonts w:ascii="Arial" w:hAnsi="Arial" w:cs="Arial"/>
          <w:u w:val="single"/>
        </w:rPr>
        <w:t>Otras subvenciones:</w:t>
      </w:r>
      <w:r w:rsidRPr="00EB5084">
        <w:rPr>
          <w:rFonts w:ascii="Arial" w:hAnsi="Arial" w:cs="Arial"/>
        </w:rPr>
        <w:t xml:space="preserve"> </w:t>
      </w:r>
    </w:p>
    <w:p w:rsidR="00585473" w:rsidRPr="00EB5084" w:rsidRDefault="00585473" w:rsidP="00585473">
      <w:pPr>
        <w:autoSpaceDE w:val="0"/>
        <w:autoSpaceDN w:val="0"/>
        <w:adjustRightInd w:val="0"/>
        <w:spacing w:after="240" w:line="240" w:lineRule="auto"/>
        <w:jc w:val="both"/>
        <w:rPr>
          <w:rFonts w:ascii="Arial" w:hAnsi="Arial" w:cs="Arial"/>
        </w:rPr>
      </w:pPr>
      <w:r w:rsidRPr="00EB5084">
        <w:rPr>
          <w:rFonts w:ascii="Arial" w:hAnsi="Arial" w:cs="Arial"/>
        </w:rPr>
        <w:t xml:space="preserve">Se inscribe el importe de las subvenciones que representan ingresos a recibir del Presupuesto del Estado por conceptos aprobados en la legislación vigente, exceptuando los casos en que estas se reciben en función de las cantidades o valores de los bienes o servicios producidos (para consumo interno o para sustituir importaciones)  vendidos o importados. Ver en aclaraciones. </w:t>
      </w:r>
    </w:p>
    <w:p w:rsidR="00585473" w:rsidRPr="00EB5084" w:rsidRDefault="00585473" w:rsidP="00585473">
      <w:pPr>
        <w:pStyle w:val="Default"/>
        <w:spacing w:after="240"/>
        <w:jc w:val="both"/>
        <w:rPr>
          <w:rFonts w:ascii="Arial" w:eastAsiaTheme="minorHAnsi" w:hAnsi="Arial" w:cs="Arial"/>
          <w:color w:val="auto"/>
          <w:sz w:val="22"/>
          <w:szCs w:val="22"/>
          <w:lang w:eastAsia="en-US"/>
        </w:rPr>
      </w:pPr>
      <w:r w:rsidRPr="00EB5084">
        <w:rPr>
          <w:rFonts w:ascii="Arial" w:eastAsiaTheme="minorHAnsi" w:hAnsi="Arial" w:cs="Arial"/>
          <w:color w:val="auto"/>
          <w:sz w:val="22"/>
          <w:szCs w:val="22"/>
          <w:u w:val="single"/>
          <w:lang w:eastAsia="en-US"/>
        </w:rPr>
        <w:t>Construcción y montaje:</w:t>
      </w:r>
    </w:p>
    <w:p w:rsidR="00585473" w:rsidRPr="00EB5084" w:rsidRDefault="00585473" w:rsidP="00585473">
      <w:pPr>
        <w:pStyle w:val="Default"/>
        <w:spacing w:after="240"/>
        <w:jc w:val="both"/>
        <w:rPr>
          <w:rFonts w:ascii="Arial" w:eastAsiaTheme="minorHAnsi" w:hAnsi="Arial" w:cs="Arial"/>
          <w:color w:val="auto"/>
          <w:sz w:val="22"/>
          <w:szCs w:val="22"/>
          <w:lang w:eastAsia="en-US"/>
        </w:rPr>
      </w:pPr>
      <w:r w:rsidRPr="00EB5084">
        <w:rPr>
          <w:rFonts w:ascii="Arial" w:eastAsiaTheme="minorHAnsi" w:hAnsi="Arial" w:cs="Arial"/>
          <w:color w:val="auto"/>
          <w:sz w:val="22"/>
          <w:szCs w:val="22"/>
          <w:lang w:eastAsia="en-US"/>
        </w:rPr>
        <w:t xml:space="preserve">Se inscribe el valor de la subcuenta </w:t>
      </w:r>
      <w:r w:rsidRPr="00EB5084">
        <w:rPr>
          <w:rFonts w:ascii="Arial" w:eastAsiaTheme="minorHAnsi" w:hAnsi="Arial" w:cs="Arial"/>
          <w:i/>
          <w:color w:val="auto"/>
          <w:sz w:val="22"/>
          <w:szCs w:val="22"/>
          <w:lang w:eastAsia="en-US"/>
        </w:rPr>
        <w:t xml:space="preserve">Construcción y montaje </w:t>
      </w:r>
      <w:r w:rsidRPr="00EB5084">
        <w:rPr>
          <w:rFonts w:ascii="Arial" w:eastAsiaTheme="minorHAnsi" w:hAnsi="Arial" w:cs="Arial"/>
          <w:color w:val="auto"/>
          <w:sz w:val="22"/>
          <w:szCs w:val="22"/>
          <w:lang w:eastAsia="en-US"/>
        </w:rPr>
        <w:t xml:space="preserve">del EFAE 5925 </w:t>
      </w:r>
      <w:r w:rsidR="00FE56CE" w:rsidRPr="00EB5084">
        <w:rPr>
          <w:rFonts w:ascii="Arial" w:eastAsiaTheme="minorHAnsi" w:hAnsi="Arial" w:cs="Arial"/>
          <w:color w:val="auto"/>
          <w:sz w:val="22"/>
          <w:szCs w:val="22"/>
          <w:lang w:eastAsia="en-US"/>
        </w:rPr>
        <w:t>fila 03, saldo de la subcuenta 0010 del rango de cuentas 265 a 278.</w:t>
      </w:r>
    </w:p>
    <w:p w:rsidR="00585473" w:rsidRPr="00EB5084" w:rsidRDefault="00585473" w:rsidP="00585473">
      <w:pPr>
        <w:pStyle w:val="Default"/>
        <w:spacing w:after="240"/>
        <w:jc w:val="both"/>
        <w:rPr>
          <w:rFonts w:ascii="Arial" w:eastAsiaTheme="minorHAnsi" w:hAnsi="Arial" w:cs="Arial"/>
          <w:color w:val="auto"/>
          <w:sz w:val="22"/>
          <w:szCs w:val="22"/>
          <w:u w:val="single"/>
          <w:lang w:eastAsia="en-US"/>
        </w:rPr>
      </w:pPr>
      <w:r w:rsidRPr="00EB5084">
        <w:rPr>
          <w:rFonts w:ascii="Arial" w:eastAsiaTheme="minorHAnsi" w:hAnsi="Arial" w:cs="Arial"/>
          <w:color w:val="auto"/>
          <w:sz w:val="22"/>
          <w:szCs w:val="22"/>
          <w:u w:val="single"/>
          <w:lang w:eastAsia="en-US"/>
        </w:rPr>
        <w:t>Saldo de la cuenta producción terminada:</w:t>
      </w:r>
    </w:p>
    <w:p w:rsidR="00585473" w:rsidRPr="00EB5084" w:rsidRDefault="00585473" w:rsidP="00585473">
      <w:pPr>
        <w:pStyle w:val="Default"/>
        <w:spacing w:after="240"/>
        <w:jc w:val="both"/>
        <w:rPr>
          <w:rFonts w:ascii="Arial" w:eastAsiaTheme="minorHAnsi" w:hAnsi="Arial" w:cs="Arial"/>
          <w:color w:val="auto"/>
          <w:sz w:val="22"/>
          <w:szCs w:val="22"/>
          <w:lang w:eastAsia="en-US"/>
        </w:rPr>
      </w:pPr>
      <w:r w:rsidRPr="00EB5084">
        <w:rPr>
          <w:rFonts w:ascii="Arial" w:eastAsiaTheme="minorHAnsi" w:hAnsi="Arial" w:cs="Arial"/>
          <w:color w:val="auto"/>
          <w:sz w:val="22"/>
          <w:szCs w:val="22"/>
          <w:lang w:eastAsia="en-US"/>
        </w:rPr>
        <w:t xml:space="preserve">Se inscribe del valor de la cuenta </w:t>
      </w:r>
      <w:r w:rsidRPr="00EB5084">
        <w:rPr>
          <w:rFonts w:ascii="Arial" w:eastAsiaTheme="minorHAnsi" w:hAnsi="Arial" w:cs="Arial"/>
          <w:i/>
          <w:color w:val="auto"/>
          <w:sz w:val="22"/>
          <w:szCs w:val="22"/>
          <w:lang w:eastAsia="en-US"/>
        </w:rPr>
        <w:t>Producción terminada</w:t>
      </w:r>
      <w:r w:rsidRPr="00EB5084">
        <w:rPr>
          <w:rFonts w:ascii="Arial" w:eastAsiaTheme="minorHAnsi" w:hAnsi="Arial" w:cs="Arial"/>
          <w:color w:val="auto"/>
          <w:sz w:val="22"/>
          <w:szCs w:val="22"/>
          <w:lang w:eastAsia="en-US"/>
        </w:rPr>
        <w:t xml:space="preserve"> del EFAE 5920 fila 30 de</w:t>
      </w:r>
      <w:r w:rsidR="00FE56CE" w:rsidRPr="00EB5084">
        <w:rPr>
          <w:rFonts w:ascii="Arial" w:eastAsiaTheme="minorHAnsi" w:hAnsi="Arial" w:cs="Arial"/>
          <w:color w:val="auto"/>
          <w:sz w:val="22"/>
          <w:szCs w:val="22"/>
          <w:lang w:eastAsia="en-US"/>
        </w:rPr>
        <w:t>l</w:t>
      </w:r>
      <w:r w:rsidRPr="00EB5084">
        <w:rPr>
          <w:rFonts w:ascii="Arial" w:eastAsiaTheme="minorHAnsi" w:hAnsi="Arial" w:cs="Arial"/>
          <w:color w:val="auto"/>
          <w:sz w:val="22"/>
          <w:szCs w:val="22"/>
          <w:lang w:eastAsia="en-US"/>
        </w:rPr>
        <w:t xml:space="preserve"> periodo que se informa </w:t>
      </w:r>
      <w:r w:rsidRPr="00EB5084">
        <w:rPr>
          <w:rFonts w:ascii="Arial" w:eastAsiaTheme="minorHAnsi" w:hAnsi="Arial" w:cs="Arial"/>
          <w:color w:val="auto"/>
          <w:sz w:val="22"/>
          <w:szCs w:val="22"/>
          <w:u w:val="single"/>
          <w:lang w:eastAsia="en-US"/>
        </w:rPr>
        <w:t>(columna 3)</w:t>
      </w:r>
      <w:r w:rsidRPr="00EB5084">
        <w:rPr>
          <w:rFonts w:ascii="Arial" w:eastAsiaTheme="minorHAnsi" w:hAnsi="Arial" w:cs="Arial"/>
          <w:color w:val="auto"/>
          <w:sz w:val="22"/>
          <w:szCs w:val="22"/>
          <w:lang w:eastAsia="en-US"/>
        </w:rPr>
        <w:t>. Comprende el valor de los bienes producidos terminados en existencias al cierre del período.</w:t>
      </w:r>
    </w:p>
    <w:p w:rsidR="00585473" w:rsidRPr="00EB5084" w:rsidRDefault="00585473" w:rsidP="00585473">
      <w:pPr>
        <w:pStyle w:val="Default"/>
        <w:spacing w:after="240"/>
        <w:jc w:val="both"/>
        <w:rPr>
          <w:rFonts w:ascii="Arial" w:eastAsiaTheme="minorHAnsi" w:hAnsi="Arial" w:cs="Arial"/>
          <w:color w:val="auto"/>
          <w:sz w:val="22"/>
          <w:szCs w:val="22"/>
          <w:u w:val="single"/>
          <w:lang w:eastAsia="en-US"/>
        </w:rPr>
      </w:pPr>
      <w:r w:rsidRPr="00EB5084">
        <w:rPr>
          <w:rFonts w:ascii="Arial" w:eastAsiaTheme="minorHAnsi" w:hAnsi="Arial" w:cs="Arial"/>
          <w:color w:val="auto"/>
          <w:sz w:val="22"/>
          <w:szCs w:val="22"/>
          <w:u w:val="single"/>
          <w:lang w:eastAsia="en-US"/>
        </w:rPr>
        <w:t>Saldo de la cuenta producción terminada  al inicio del año:</w:t>
      </w:r>
    </w:p>
    <w:p w:rsidR="00585473" w:rsidRPr="00EB5084" w:rsidRDefault="00585473" w:rsidP="00585473">
      <w:pPr>
        <w:pStyle w:val="Default"/>
        <w:spacing w:after="240"/>
        <w:jc w:val="both"/>
        <w:rPr>
          <w:rFonts w:ascii="Arial" w:eastAsiaTheme="minorHAnsi" w:hAnsi="Arial" w:cs="Arial"/>
          <w:color w:val="auto"/>
          <w:sz w:val="22"/>
          <w:szCs w:val="22"/>
          <w:lang w:eastAsia="en-US"/>
        </w:rPr>
      </w:pPr>
      <w:r w:rsidRPr="00EB5084">
        <w:rPr>
          <w:rFonts w:ascii="Arial" w:eastAsiaTheme="minorHAnsi" w:hAnsi="Arial" w:cs="Arial"/>
          <w:color w:val="auto"/>
          <w:sz w:val="22"/>
          <w:szCs w:val="22"/>
          <w:lang w:eastAsia="en-US"/>
        </w:rPr>
        <w:t xml:space="preserve">Se inscribe del valor de la cuenta </w:t>
      </w:r>
      <w:r w:rsidRPr="00EB5084">
        <w:rPr>
          <w:rFonts w:ascii="Arial" w:eastAsiaTheme="minorHAnsi" w:hAnsi="Arial" w:cs="Arial"/>
          <w:i/>
          <w:color w:val="auto"/>
          <w:sz w:val="22"/>
          <w:szCs w:val="22"/>
          <w:lang w:eastAsia="en-US"/>
        </w:rPr>
        <w:t>Producción terminada</w:t>
      </w:r>
      <w:r w:rsidRPr="00EB5084">
        <w:rPr>
          <w:rFonts w:ascii="Arial" w:eastAsiaTheme="minorHAnsi" w:hAnsi="Arial" w:cs="Arial"/>
          <w:color w:val="auto"/>
          <w:sz w:val="22"/>
          <w:szCs w:val="22"/>
          <w:lang w:eastAsia="en-US"/>
        </w:rPr>
        <w:t xml:space="preserve"> del EFAE 5920 fila 30 al inicio del año </w:t>
      </w:r>
      <w:r w:rsidRPr="00EB5084">
        <w:rPr>
          <w:rFonts w:ascii="Arial" w:eastAsiaTheme="minorHAnsi" w:hAnsi="Arial" w:cs="Arial"/>
          <w:color w:val="auto"/>
          <w:sz w:val="22"/>
          <w:szCs w:val="22"/>
          <w:u w:val="single"/>
          <w:lang w:eastAsia="en-US"/>
        </w:rPr>
        <w:t>(columna 2)</w:t>
      </w:r>
      <w:r w:rsidRPr="00EB5084">
        <w:rPr>
          <w:rFonts w:ascii="Arial" w:eastAsiaTheme="minorHAnsi" w:hAnsi="Arial" w:cs="Arial"/>
          <w:color w:val="auto"/>
          <w:sz w:val="22"/>
          <w:szCs w:val="22"/>
          <w:lang w:eastAsia="en-US"/>
        </w:rPr>
        <w:t>.</w:t>
      </w:r>
      <w:r w:rsidRPr="00EB5084">
        <w:rPr>
          <w:rFonts w:ascii="Arial" w:hAnsi="Arial" w:cs="Arial"/>
          <w:color w:val="auto"/>
          <w:sz w:val="22"/>
          <w:szCs w:val="22"/>
        </w:rPr>
        <w:t xml:space="preserve"> Comprende el valor de </w:t>
      </w:r>
      <w:r w:rsidRPr="00EB5084">
        <w:rPr>
          <w:rFonts w:ascii="Arial" w:eastAsiaTheme="minorHAnsi" w:hAnsi="Arial" w:cs="Arial"/>
          <w:color w:val="auto"/>
          <w:sz w:val="22"/>
          <w:szCs w:val="22"/>
          <w:lang w:eastAsia="en-US"/>
        </w:rPr>
        <w:t>los bienes producidos terminados que ya estaban en existencia al inicio del año.</w:t>
      </w:r>
    </w:p>
    <w:p w:rsidR="00585473" w:rsidRPr="00EB5084" w:rsidRDefault="00585473" w:rsidP="00585473">
      <w:pPr>
        <w:pStyle w:val="Default"/>
        <w:spacing w:after="240"/>
        <w:jc w:val="both"/>
        <w:rPr>
          <w:rFonts w:ascii="Arial" w:eastAsiaTheme="minorHAnsi" w:hAnsi="Arial" w:cs="Arial"/>
          <w:color w:val="auto"/>
          <w:sz w:val="22"/>
          <w:szCs w:val="22"/>
          <w:lang w:eastAsia="en-US"/>
        </w:rPr>
      </w:pPr>
      <w:r w:rsidRPr="00EB5084">
        <w:rPr>
          <w:rFonts w:ascii="Arial" w:eastAsiaTheme="minorHAnsi" w:hAnsi="Arial" w:cs="Arial"/>
          <w:color w:val="auto"/>
          <w:sz w:val="22"/>
          <w:szCs w:val="22"/>
          <w:u w:val="single"/>
          <w:lang w:eastAsia="en-US"/>
        </w:rPr>
        <w:t>Saldo de la cuenta producción para insumo o autoconsumo:</w:t>
      </w:r>
      <w:r w:rsidRPr="00EB5084">
        <w:rPr>
          <w:rFonts w:ascii="Arial" w:eastAsiaTheme="minorHAnsi" w:hAnsi="Arial" w:cs="Arial"/>
          <w:color w:val="auto"/>
          <w:sz w:val="22"/>
          <w:szCs w:val="22"/>
          <w:lang w:eastAsia="en-US"/>
        </w:rPr>
        <w:t xml:space="preserve"> </w:t>
      </w:r>
    </w:p>
    <w:p w:rsidR="00585473" w:rsidRPr="00EB5084" w:rsidRDefault="00585473" w:rsidP="00585473">
      <w:pPr>
        <w:pStyle w:val="Default"/>
        <w:spacing w:after="240"/>
        <w:jc w:val="both"/>
        <w:rPr>
          <w:rFonts w:ascii="Arial" w:eastAsiaTheme="minorHAnsi" w:hAnsi="Arial" w:cs="Arial"/>
          <w:color w:val="auto"/>
          <w:sz w:val="22"/>
          <w:szCs w:val="22"/>
          <w:lang w:eastAsia="en-US"/>
        </w:rPr>
      </w:pPr>
      <w:r w:rsidRPr="00EB5084">
        <w:rPr>
          <w:rFonts w:ascii="Arial" w:eastAsiaTheme="minorHAnsi" w:hAnsi="Arial" w:cs="Arial"/>
          <w:color w:val="auto"/>
          <w:sz w:val="22"/>
          <w:szCs w:val="22"/>
          <w:lang w:eastAsia="en-US"/>
        </w:rPr>
        <w:t xml:space="preserve">Se inscribe del valor de la cuenta </w:t>
      </w:r>
      <w:r w:rsidRPr="00EB5084">
        <w:rPr>
          <w:rFonts w:ascii="Arial" w:eastAsiaTheme="minorHAnsi" w:hAnsi="Arial" w:cs="Arial"/>
          <w:i/>
          <w:color w:val="auto"/>
          <w:sz w:val="22"/>
          <w:szCs w:val="22"/>
          <w:lang w:eastAsia="en-US"/>
        </w:rPr>
        <w:t xml:space="preserve">Producción para insumo o autoconsumo </w:t>
      </w:r>
      <w:r w:rsidRPr="00EB5084">
        <w:rPr>
          <w:rFonts w:ascii="Arial" w:eastAsiaTheme="minorHAnsi" w:hAnsi="Arial" w:cs="Arial"/>
          <w:color w:val="auto"/>
          <w:sz w:val="22"/>
          <w:szCs w:val="22"/>
          <w:lang w:eastAsia="en-US"/>
        </w:rPr>
        <w:t xml:space="preserve">del EFAE 5920 fila 41 </w:t>
      </w:r>
      <w:r w:rsidRPr="00EB5084">
        <w:rPr>
          <w:rFonts w:ascii="Arial" w:eastAsiaTheme="minorHAnsi" w:hAnsi="Arial" w:cs="Arial"/>
          <w:color w:val="auto"/>
          <w:sz w:val="22"/>
          <w:szCs w:val="22"/>
          <w:u w:val="single"/>
          <w:lang w:eastAsia="en-US"/>
        </w:rPr>
        <w:t>(columna 3)</w:t>
      </w:r>
      <w:r w:rsidRPr="00EB5084">
        <w:rPr>
          <w:rFonts w:ascii="Arial" w:eastAsiaTheme="minorHAnsi" w:hAnsi="Arial" w:cs="Arial"/>
          <w:color w:val="auto"/>
          <w:sz w:val="22"/>
          <w:szCs w:val="22"/>
          <w:lang w:eastAsia="en-US"/>
        </w:rPr>
        <w:t xml:space="preserve">. </w:t>
      </w:r>
      <w:r w:rsidRPr="00EB5084">
        <w:rPr>
          <w:rFonts w:ascii="Arial" w:hAnsi="Arial" w:cs="Arial"/>
          <w:color w:val="auto"/>
          <w:sz w:val="22"/>
          <w:szCs w:val="22"/>
        </w:rPr>
        <w:t xml:space="preserve">Comprende el valor de </w:t>
      </w:r>
      <w:r w:rsidRPr="00EB5084">
        <w:rPr>
          <w:rFonts w:ascii="Arial" w:eastAsiaTheme="minorHAnsi" w:hAnsi="Arial" w:cs="Arial"/>
          <w:color w:val="auto"/>
          <w:sz w:val="22"/>
          <w:szCs w:val="22"/>
          <w:lang w:eastAsia="en-US"/>
        </w:rPr>
        <w:t>los bienes producidos por la propia entidad para ser insumido en el proceso productivo excluyendo los activos fijos.</w:t>
      </w:r>
    </w:p>
    <w:p w:rsidR="00585473" w:rsidRPr="00EB5084" w:rsidRDefault="00585473" w:rsidP="00585473">
      <w:pPr>
        <w:pStyle w:val="Default"/>
        <w:spacing w:after="240"/>
        <w:jc w:val="both"/>
        <w:rPr>
          <w:rFonts w:ascii="Arial" w:eastAsiaTheme="minorHAnsi" w:hAnsi="Arial" w:cs="Arial"/>
          <w:color w:val="auto"/>
          <w:sz w:val="22"/>
          <w:szCs w:val="22"/>
          <w:u w:val="single"/>
          <w:lang w:eastAsia="en-US"/>
        </w:rPr>
      </w:pPr>
      <w:r w:rsidRPr="00EB5084">
        <w:rPr>
          <w:rFonts w:ascii="Arial" w:eastAsiaTheme="minorHAnsi" w:hAnsi="Arial" w:cs="Arial"/>
          <w:color w:val="auto"/>
          <w:sz w:val="22"/>
          <w:szCs w:val="22"/>
          <w:u w:val="single"/>
          <w:lang w:eastAsia="en-US"/>
        </w:rPr>
        <w:t xml:space="preserve">Saldo de la cuenta producción para insumo o autoconsumo al inicio del año: </w:t>
      </w:r>
    </w:p>
    <w:p w:rsidR="00585473" w:rsidRPr="00EB5084" w:rsidRDefault="00585473" w:rsidP="00585473">
      <w:pPr>
        <w:pStyle w:val="Default"/>
        <w:spacing w:after="240"/>
        <w:jc w:val="both"/>
        <w:rPr>
          <w:rFonts w:ascii="Arial" w:eastAsiaTheme="minorHAnsi" w:hAnsi="Arial" w:cs="Arial"/>
          <w:color w:val="auto"/>
          <w:sz w:val="22"/>
          <w:szCs w:val="22"/>
          <w:lang w:eastAsia="en-US"/>
        </w:rPr>
      </w:pPr>
      <w:r w:rsidRPr="00EB5084">
        <w:rPr>
          <w:rFonts w:ascii="Arial" w:eastAsiaTheme="minorHAnsi" w:hAnsi="Arial" w:cs="Arial"/>
          <w:color w:val="auto"/>
          <w:sz w:val="22"/>
          <w:szCs w:val="22"/>
          <w:lang w:eastAsia="en-US"/>
        </w:rPr>
        <w:t xml:space="preserve">Se inscribe del valor de la cuenta </w:t>
      </w:r>
      <w:r w:rsidRPr="00EB5084">
        <w:rPr>
          <w:rFonts w:ascii="Arial" w:eastAsiaTheme="minorHAnsi" w:hAnsi="Arial" w:cs="Arial"/>
          <w:i/>
          <w:color w:val="auto"/>
          <w:sz w:val="22"/>
          <w:szCs w:val="22"/>
          <w:lang w:eastAsia="en-US"/>
        </w:rPr>
        <w:t xml:space="preserve">Producción para insumo o autoconsumo </w:t>
      </w:r>
      <w:r w:rsidRPr="00EB5084">
        <w:rPr>
          <w:rFonts w:ascii="Arial" w:eastAsiaTheme="minorHAnsi" w:hAnsi="Arial" w:cs="Arial"/>
          <w:color w:val="auto"/>
          <w:sz w:val="22"/>
          <w:szCs w:val="22"/>
          <w:lang w:eastAsia="en-US"/>
        </w:rPr>
        <w:t xml:space="preserve">del EFAE 5920 fila 41 al inicio del año </w:t>
      </w:r>
      <w:r w:rsidRPr="00EB5084">
        <w:rPr>
          <w:rFonts w:ascii="Arial" w:eastAsiaTheme="minorHAnsi" w:hAnsi="Arial" w:cs="Arial"/>
          <w:color w:val="auto"/>
          <w:sz w:val="22"/>
          <w:szCs w:val="22"/>
          <w:u w:val="single"/>
          <w:lang w:eastAsia="en-US"/>
        </w:rPr>
        <w:t>(columna 2)</w:t>
      </w:r>
      <w:r w:rsidRPr="00EB5084">
        <w:rPr>
          <w:rFonts w:ascii="Arial" w:eastAsiaTheme="minorHAnsi" w:hAnsi="Arial" w:cs="Arial"/>
          <w:color w:val="auto"/>
          <w:sz w:val="22"/>
          <w:szCs w:val="22"/>
          <w:lang w:eastAsia="en-US"/>
        </w:rPr>
        <w:t xml:space="preserve">. </w:t>
      </w:r>
      <w:r w:rsidRPr="00EB5084">
        <w:rPr>
          <w:rFonts w:ascii="Arial" w:hAnsi="Arial" w:cs="Arial"/>
          <w:color w:val="auto"/>
          <w:sz w:val="22"/>
          <w:szCs w:val="22"/>
        </w:rPr>
        <w:t xml:space="preserve">Comprende el valor de </w:t>
      </w:r>
      <w:r w:rsidRPr="00EB5084">
        <w:rPr>
          <w:rFonts w:ascii="Arial" w:eastAsiaTheme="minorHAnsi" w:hAnsi="Arial" w:cs="Arial"/>
          <w:color w:val="auto"/>
          <w:sz w:val="22"/>
          <w:szCs w:val="22"/>
          <w:lang w:eastAsia="en-US"/>
        </w:rPr>
        <w:t>los bienes producidos por la propia entidad para ser insumido, en el proceso productivo, excluyendo los bienes de capital.</w:t>
      </w:r>
    </w:p>
    <w:p w:rsidR="00585473" w:rsidRPr="00EB5084" w:rsidRDefault="00585473" w:rsidP="00585473">
      <w:pPr>
        <w:pStyle w:val="Default"/>
        <w:spacing w:after="240"/>
        <w:jc w:val="both"/>
        <w:rPr>
          <w:rFonts w:ascii="Arial" w:eastAsiaTheme="minorHAnsi" w:hAnsi="Arial" w:cs="Arial"/>
          <w:color w:val="auto"/>
          <w:sz w:val="22"/>
          <w:szCs w:val="22"/>
          <w:u w:val="single"/>
          <w:lang w:eastAsia="en-US"/>
        </w:rPr>
      </w:pPr>
      <w:r w:rsidRPr="00EB5084">
        <w:rPr>
          <w:rFonts w:ascii="Arial" w:eastAsiaTheme="minorHAnsi" w:hAnsi="Arial" w:cs="Arial"/>
          <w:color w:val="auto"/>
          <w:sz w:val="22"/>
          <w:szCs w:val="22"/>
          <w:u w:val="single"/>
          <w:lang w:eastAsia="en-US"/>
        </w:rPr>
        <w:t>Costo de venta de bienes y servicios:</w:t>
      </w:r>
    </w:p>
    <w:p w:rsidR="00585473" w:rsidRPr="00EB5084" w:rsidRDefault="00585473" w:rsidP="00585473">
      <w:pPr>
        <w:pStyle w:val="Default"/>
        <w:spacing w:after="240"/>
        <w:jc w:val="both"/>
        <w:rPr>
          <w:rFonts w:ascii="Arial" w:eastAsiaTheme="minorHAnsi" w:hAnsi="Arial" w:cs="Arial"/>
          <w:color w:val="auto"/>
          <w:sz w:val="22"/>
          <w:szCs w:val="22"/>
          <w:lang w:eastAsia="en-US"/>
        </w:rPr>
      </w:pPr>
      <w:r w:rsidRPr="00EB5084">
        <w:rPr>
          <w:rFonts w:ascii="Arial" w:eastAsiaTheme="minorHAnsi" w:hAnsi="Arial" w:cs="Arial"/>
          <w:color w:val="auto"/>
          <w:sz w:val="22"/>
          <w:szCs w:val="22"/>
          <w:lang w:eastAsia="en-US"/>
        </w:rPr>
        <w:t xml:space="preserve">Se registra el valor de la cuenta del EFAE 5921: </w:t>
      </w:r>
      <w:r w:rsidRPr="00EB5084">
        <w:rPr>
          <w:rFonts w:ascii="Arial" w:eastAsiaTheme="minorHAnsi" w:hAnsi="Arial" w:cs="Arial"/>
          <w:i/>
          <w:color w:val="auto"/>
          <w:sz w:val="22"/>
          <w:szCs w:val="22"/>
          <w:lang w:eastAsia="en-US"/>
        </w:rPr>
        <w:t>Costo de venta de mercancía</w:t>
      </w:r>
      <w:r w:rsidRPr="00EB5084">
        <w:rPr>
          <w:rFonts w:ascii="Arial" w:eastAsiaTheme="minorHAnsi" w:hAnsi="Arial" w:cs="Arial"/>
          <w:color w:val="auto"/>
          <w:sz w:val="22"/>
          <w:szCs w:val="22"/>
          <w:lang w:eastAsia="en-US"/>
        </w:rPr>
        <w:t xml:space="preserve"> fila 09</w:t>
      </w:r>
      <w:r w:rsidR="00046621" w:rsidRPr="00EB5084">
        <w:rPr>
          <w:rFonts w:ascii="Arial" w:eastAsiaTheme="minorHAnsi" w:hAnsi="Arial" w:cs="Arial"/>
          <w:color w:val="auto"/>
          <w:sz w:val="22"/>
          <w:szCs w:val="22"/>
          <w:lang w:eastAsia="en-US"/>
        </w:rPr>
        <w:t xml:space="preserve"> (rango de las cuentas 814</w:t>
      </w:r>
      <w:r w:rsidR="00EF0253" w:rsidRPr="00EB5084">
        <w:rPr>
          <w:rFonts w:ascii="Arial" w:eastAsiaTheme="minorHAnsi" w:hAnsi="Arial" w:cs="Arial"/>
          <w:color w:val="auto"/>
          <w:sz w:val="22"/>
          <w:szCs w:val="22"/>
          <w:lang w:eastAsia="en-US"/>
        </w:rPr>
        <w:t> </w:t>
      </w:r>
      <w:r w:rsidR="00046621" w:rsidRPr="00EB5084">
        <w:rPr>
          <w:rFonts w:ascii="Arial" w:eastAsiaTheme="minorHAnsi" w:hAnsi="Arial" w:cs="Arial"/>
          <w:color w:val="auto"/>
          <w:sz w:val="22"/>
          <w:szCs w:val="22"/>
          <w:lang w:eastAsia="en-US"/>
        </w:rPr>
        <w:t>a 817)</w:t>
      </w:r>
      <w:r w:rsidR="00EF0253" w:rsidRPr="00EB5084">
        <w:rPr>
          <w:rFonts w:ascii="Arial" w:eastAsiaTheme="minorHAnsi" w:hAnsi="Arial" w:cs="Arial"/>
          <w:color w:val="auto"/>
          <w:sz w:val="22"/>
          <w:szCs w:val="22"/>
          <w:lang w:eastAsia="en-US"/>
        </w:rPr>
        <w:t xml:space="preserve">. En el caso de las agencias de viajes, también se registran las cuentas Costo de venta de la producción, rango 810-813 </w:t>
      </w:r>
      <w:r w:rsidRPr="00EB5084">
        <w:rPr>
          <w:rFonts w:ascii="Arial" w:eastAsiaTheme="minorHAnsi" w:hAnsi="Arial" w:cs="Arial"/>
          <w:color w:val="auto"/>
          <w:sz w:val="22"/>
          <w:szCs w:val="22"/>
          <w:lang w:eastAsia="en-US"/>
        </w:rPr>
        <w:t xml:space="preserve">y </w:t>
      </w:r>
      <w:r w:rsidR="00EF0253" w:rsidRPr="00EB5084">
        <w:rPr>
          <w:rFonts w:ascii="Arial" w:eastAsiaTheme="minorHAnsi" w:hAnsi="Arial" w:cs="Arial"/>
          <w:color w:val="auto"/>
          <w:sz w:val="22"/>
          <w:szCs w:val="22"/>
          <w:lang w:eastAsia="en-US"/>
        </w:rPr>
        <w:t xml:space="preserve">el </w:t>
      </w:r>
      <w:r w:rsidRPr="00EB5084">
        <w:rPr>
          <w:rFonts w:ascii="Arial" w:eastAsiaTheme="minorHAnsi" w:hAnsi="Arial" w:cs="Arial"/>
          <w:i/>
          <w:color w:val="auto"/>
          <w:sz w:val="22"/>
          <w:szCs w:val="22"/>
          <w:lang w:eastAsia="en-US"/>
        </w:rPr>
        <w:t>Costo por exportación de servicios</w:t>
      </w:r>
      <w:r w:rsidRPr="00EB5084">
        <w:rPr>
          <w:rFonts w:ascii="Arial" w:eastAsiaTheme="minorHAnsi" w:hAnsi="Arial" w:cs="Arial"/>
          <w:color w:val="auto"/>
          <w:sz w:val="22"/>
          <w:szCs w:val="22"/>
          <w:lang w:eastAsia="en-US"/>
        </w:rPr>
        <w:t xml:space="preserve">  fila 10</w:t>
      </w:r>
      <w:r w:rsidR="00EF0253" w:rsidRPr="00EB5084">
        <w:rPr>
          <w:rFonts w:ascii="Arial" w:eastAsiaTheme="minorHAnsi" w:hAnsi="Arial" w:cs="Arial"/>
          <w:color w:val="auto"/>
          <w:sz w:val="22"/>
          <w:szCs w:val="22"/>
          <w:lang w:eastAsia="en-US"/>
        </w:rPr>
        <w:t>, saldo de la cuenta 818.</w:t>
      </w:r>
    </w:p>
    <w:p w:rsidR="00585473" w:rsidRPr="00EB5084" w:rsidRDefault="00585473" w:rsidP="00585473">
      <w:pPr>
        <w:tabs>
          <w:tab w:val="left" w:pos="284"/>
          <w:tab w:val="left" w:pos="1800"/>
        </w:tabs>
        <w:spacing w:after="240" w:line="240" w:lineRule="auto"/>
        <w:jc w:val="both"/>
        <w:rPr>
          <w:rFonts w:ascii="Arial" w:eastAsiaTheme="minorHAnsi" w:hAnsi="Arial" w:cs="Arial"/>
          <w:lang w:eastAsia="en-US"/>
        </w:rPr>
      </w:pPr>
      <w:r w:rsidRPr="00EB5084">
        <w:rPr>
          <w:rFonts w:ascii="Arial" w:eastAsiaTheme="minorHAnsi" w:hAnsi="Arial" w:cs="Arial"/>
          <w:u w:val="single"/>
          <w:lang w:eastAsia="en-US"/>
        </w:rPr>
        <w:t>Producción de bienes y servicios a precios básicos:</w:t>
      </w:r>
    </w:p>
    <w:p w:rsidR="00585473" w:rsidRPr="00EB5084" w:rsidRDefault="00585473" w:rsidP="00585473">
      <w:pPr>
        <w:tabs>
          <w:tab w:val="left" w:pos="284"/>
          <w:tab w:val="left" w:pos="1800"/>
        </w:tabs>
        <w:spacing w:after="240" w:line="240" w:lineRule="auto"/>
        <w:jc w:val="both"/>
        <w:rPr>
          <w:rFonts w:ascii="Arial" w:eastAsiaTheme="minorHAnsi" w:hAnsi="Arial" w:cs="Arial"/>
          <w:lang w:eastAsia="en-US"/>
        </w:rPr>
      </w:pPr>
      <w:r w:rsidRPr="00EB5084">
        <w:rPr>
          <w:rFonts w:ascii="Arial" w:eastAsiaTheme="minorHAnsi" w:hAnsi="Arial" w:cs="Arial"/>
          <w:lang w:eastAsia="en-US"/>
        </w:rPr>
        <w:t xml:space="preserve">Valor calculado, fila 01 menos la fila 02 más las filas 03 y 04 menos la fila 05 más la fila 06 menos 07 más 08 menos la 09. </w:t>
      </w:r>
    </w:p>
    <w:p w:rsidR="00585473" w:rsidRPr="00EB5084" w:rsidRDefault="00585473" w:rsidP="00585473">
      <w:pPr>
        <w:tabs>
          <w:tab w:val="left" w:pos="284"/>
          <w:tab w:val="left" w:pos="1800"/>
        </w:tabs>
        <w:spacing w:after="240" w:line="240" w:lineRule="auto"/>
        <w:jc w:val="both"/>
        <w:rPr>
          <w:rFonts w:ascii="Arial" w:eastAsiaTheme="minorHAnsi" w:hAnsi="Arial" w:cs="Arial"/>
          <w:u w:val="single"/>
          <w:lang w:eastAsia="en-US"/>
        </w:rPr>
      </w:pPr>
      <w:r w:rsidRPr="00EB5084">
        <w:rPr>
          <w:rFonts w:ascii="Arial" w:eastAsiaTheme="minorHAnsi" w:hAnsi="Arial" w:cs="Arial"/>
          <w:lang w:eastAsia="en-US"/>
        </w:rPr>
        <w:lastRenderedPageBreak/>
        <w:t>La Producción de bienes y servicios constituye una actividad realizada bajo la responsabilidad, el control y la gestión de una unidad institucional (empresas, unidades presupuestadas, cooperativas, trabajadores por cuenta propia, asociaciones y otras), en la cual el trabajo del hombre da como resultado la creación de bienes o servicios para uso propio o la colectividad y  se utilizan mano de obra, capital y bienes y servicios para obtener otros bienes y servicios.</w:t>
      </w:r>
    </w:p>
    <w:p w:rsidR="00585473" w:rsidRPr="00EB5084" w:rsidRDefault="00585473" w:rsidP="00585473">
      <w:pPr>
        <w:pStyle w:val="Default"/>
        <w:spacing w:after="240"/>
        <w:jc w:val="both"/>
        <w:rPr>
          <w:rFonts w:ascii="Arial" w:eastAsiaTheme="minorHAnsi" w:hAnsi="Arial" w:cs="Arial"/>
          <w:color w:val="auto"/>
          <w:sz w:val="22"/>
          <w:szCs w:val="22"/>
          <w:lang w:eastAsia="en-US"/>
        </w:rPr>
      </w:pPr>
      <w:r w:rsidRPr="00EB5084">
        <w:rPr>
          <w:rFonts w:ascii="Arial" w:eastAsiaTheme="minorHAnsi" w:hAnsi="Arial" w:cs="Arial"/>
          <w:color w:val="auto"/>
          <w:sz w:val="22"/>
          <w:szCs w:val="22"/>
          <w:u w:val="single"/>
          <w:lang w:eastAsia="en-US"/>
        </w:rPr>
        <w:t>Precios básicos:</w:t>
      </w:r>
      <w:r w:rsidRPr="00EB5084">
        <w:rPr>
          <w:rFonts w:ascii="Arial" w:eastAsiaTheme="minorHAnsi" w:hAnsi="Arial" w:cs="Arial"/>
          <w:color w:val="auto"/>
          <w:sz w:val="22"/>
          <w:szCs w:val="22"/>
          <w:lang w:eastAsia="en-US"/>
        </w:rPr>
        <w:t xml:space="preserve"> son los precios del producto antes de que salga del establecimiento, el cual contiene las subvenciones a productos y no incorpora los impuestos sobre las ventas. Es el monto que retiene el productor. </w:t>
      </w:r>
    </w:p>
    <w:p w:rsidR="00585473" w:rsidRPr="00EB5084" w:rsidRDefault="00585473" w:rsidP="00585473">
      <w:pPr>
        <w:tabs>
          <w:tab w:val="left" w:pos="284"/>
          <w:tab w:val="left" w:pos="1800"/>
        </w:tabs>
        <w:spacing w:after="240" w:line="240" w:lineRule="auto"/>
        <w:jc w:val="both"/>
        <w:rPr>
          <w:rFonts w:ascii="Arial" w:eastAsiaTheme="minorHAnsi" w:hAnsi="Arial" w:cs="Arial"/>
          <w:b/>
          <w:lang w:eastAsia="en-US"/>
        </w:rPr>
      </w:pPr>
      <w:r w:rsidRPr="00EB5084">
        <w:rPr>
          <w:rFonts w:ascii="Arial" w:eastAsiaTheme="minorHAnsi" w:hAnsi="Arial" w:cs="Arial"/>
          <w:b/>
          <w:lang w:eastAsia="en-US"/>
        </w:rPr>
        <w:t>V. NOMENCLATURA DE PRODUCTOS</w:t>
      </w:r>
    </w:p>
    <w:p w:rsidR="00585473" w:rsidRPr="00EB5084" w:rsidRDefault="00585473" w:rsidP="00585473">
      <w:pPr>
        <w:tabs>
          <w:tab w:val="left" w:pos="284"/>
          <w:tab w:val="left" w:pos="1800"/>
        </w:tabs>
        <w:spacing w:after="240" w:line="240" w:lineRule="auto"/>
        <w:jc w:val="both"/>
        <w:rPr>
          <w:rFonts w:ascii="Arial" w:hAnsi="Arial" w:cs="Arial"/>
        </w:rPr>
      </w:pPr>
      <w:r w:rsidRPr="00EB5084">
        <w:rPr>
          <w:rFonts w:ascii="Arial" w:hAnsi="Arial" w:cs="Arial"/>
        </w:rPr>
        <w:t xml:space="preserve">No procede </w:t>
      </w:r>
    </w:p>
    <w:p w:rsidR="00585473" w:rsidRPr="00EB5084" w:rsidRDefault="00585473" w:rsidP="00585473">
      <w:pPr>
        <w:tabs>
          <w:tab w:val="left" w:pos="284"/>
          <w:tab w:val="left" w:pos="1800"/>
        </w:tabs>
        <w:spacing w:after="240" w:line="240" w:lineRule="auto"/>
        <w:jc w:val="both"/>
        <w:rPr>
          <w:rFonts w:ascii="Arial" w:hAnsi="Arial" w:cs="Arial"/>
          <w:b/>
        </w:rPr>
      </w:pPr>
      <w:r w:rsidRPr="00EB5084">
        <w:rPr>
          <w:rFonts w:ascii="Arial" w:hAnsi="Arial" w:cs="Arial"/>
          <w:b/>
        </w:rPr>
        <w:t>VI. REVISIÓN LÓGICA Y ARITMÉTICA</w:t>
      </w:r>
    </w:p>
    <w:p w:rsidR="00585473" w:rsidRPr="00EB5084" w:rsidRDefault="00585473" w:rsidP="00585473">
      <w:pPr>
        <w:tabs>
          <w:tab w:val="left" w:pos="284"/>
          <w:tab w:val="left" w:pos="1800"/>
        </w:tabs>
        <w:spacing w:after="240" w:line="240" w:lineRule="auto"/>
        <w:jc w:val="both"/>
        <w:rPr>
          <w:rFonts w:ascii="Arial" w:hAnsi="Arial" w:cs="Arial"/>
        </w:rPr>
      </w:pPr>
      <w:r w:rsidRPr="00EB5084">
        <w:rPr>
          <w:rFonts w:ascii="Arial" w:hAnsi="Arial" w:cs="Arial"/>
        </w:rPr>
        <w:t>No hay revisiones</w:t>
      </w:r>
    </w:p>
    <w:p w:rsidR="00585473" w:rsidRPr="00EB5084" w:rsidRDefault="00585473" w:rsidP="00585473">
      <w:pPr>
        <w:tabs>
          <w:tab w:val="left" w:pos="284"/>
          <w:tab w:val="left" w:pos="1800"/>
        </w:tabs>
        <w:spacing w:after="240" w:line="240" w:lineRule="auto"/>
        <w:jc w:val="both"/>
        <w:rPr>
          <w:rFonts w:ascii="Arial" w:hAnsi="Arial" w:cs="Arial"/>
        </w:rPr>
      </w:pPr>
      <w:r w:rsidRPr="00EB5084">
        <w:rPr>
          <w:rFonts w:ascii="Arial" w:hAnsi="Arial" w:cs="Arial"/>
          <w:b/>
        </w:rPr>
        <w:t>VII. ACLARACIONES</w:t>
      </w:r>
    </w:p>
    <w:p w:rsidR="00585473" w:rsidRPr="00EB5084" w:rsidRDefault="00585473" w:rsidP="00585473">
      <w:pPr>
        <w:pStyle w:val="Prrafodelista"/>
        <w:numPr>
          <w:ilvl w:val="0"/>
          <w:numId w:val="8"/>
        </w:numPr>
        <w:tabs>
          <w:tab w:val="left" w:pos="284"/>
          <w:tab w:val="left" w:pos="1800"/>
        </w:tabs>
        <w:spacing w:after="240" w:line="240" w:lineRule="auto"/>
        <w:contextualSpacing w:val="0"/>
        <w:jc w:val="both"/>
        <w:rPr>
          <w:rFonts w:ascii="Arial" w:hAnsi="Arial" w:cs="Arial"/>
        </w:rPr>
      </w:pPr>
      <w:r w:rsidRPr="00EB5084">
        <w:rPr>
          <w:rFonts w:ascii="Arial" w:eastAsiaTheme="minorHAnsi" w:hAnsi="Arial" w:cs="Arial"/>
          <w:lang w:eastAsia="en-US"/>
        </w:rPr>
        <w:t>La producción de bienes y servicios reportada en este formulario</w:t>
      </w:r>
      <w:r w:rsidR="00813982" w:rsidRPr="00EB5084">
        <w:rPr>
          <w:rFonts w:ascii="Arial" w:eastAsiaTheme="minorHAnsi" w:hAnsi="Arial" w:cs="Arial"/>
          <w:lang w:eastAsia="en-US"/>
        </w:rPr>
        <w:t xml:space="preserve">, </w:t>
      </w:r>
      <w:r w:rsidRPr="00EB5084">
        <w:rPr>
          <w:rFonts w:ascii="Arial" w:eastAsiaTheme="minorHAnsi" w:hAnsi="Arial" w:cs="Arial"/>
          <w:lang w:eastAsia="en-US"/>
        </w:rPr>
        <w:t xml:space="preserve">debe coincidir exactamente con la sumatoria de la producción por producto informada por </w:t>
      </w:r>
      <w:r w:rsidR="0008398E">
        <w:rPr>
          <w:rFonts w:ascii="Arial" w:eastAsiaTheme="minorHAnsi" w:hAnsi="Arial" w:cs="Arial"/>
          <w:lang w:eastAsia="en-US"/>
        </w:rPr>
        <w:t>el establecimiento</w:t>
      </w:r>
      <w:r w:rsidRPr="00EB5084">
        <w:rPr>
          <w:rFonts w:ascii="Arial" w:eastAsiaTheme="minorHAnsi" w:hAnsi="Arial" w:cs="Arial"/>
          <w:lang w:eastAsia="en-US"/>
        </w:rPr>
        <w:t xml:space="preserve"> en los formularios, </w:t>
      </w:r>
      <w:r w:rsidR="0090013D" w:rsidRPr="00EB5084">
        <w:rPr>
          <w:rFonts w:ascii="Arial" w:eastAsiaTheme="minorHAnsi" w:hAnsi="Arial" w:cs="Arial"/>
          <w:lang w:eastAsia="en-US"/>
        </w:rPr>
        <w:t>T02</w:t>
      </w:r>
      <w:r w:rsidRPr="00EB5084">
        <w:rPr>
          <w:rFonts w:ascii="Arial" w:eastAsiaTheme="minorHAnsi" w:hAnsi="Arial" w:cs="Arial"/>
          <w:lang w:eastAsia="en-US"/>
        </w:rPr>
        <w:t xml:space="preserve"> “Pr</w:t>
      </w:r>
      <w:r w:rsidR="0090013D" w:rsidRPr="00EB5084">
        <w:rPr>
          <w:rFonts w:ascii="Arial" w:eastAsiaTheme="minorHAnsi" w:hAnsi="Arial" w:cs="Arial"/>
          <w:lang w:eastAsia="en-US"/>
        </w:rPr>
        <w:t>oducción de bienes y servicios”</w:t>
      </w:r>
      <w:r w:rsidR="00813982" w:rsidRPr="00EB5084">
        <w:rPr>
          <w:rFonts w:ascii="Arial" w:eastAsiaTheme="minorHAnsi" w:hAnsi="Arial" w:cs="Arial"/>
          <w:lang w:eastAsia="en-US"/>
        </w:rPr>
        <w:t>.</w:t>
      </w:r>
    </w:p>
    <w:p w:rsidR="00585473" w:rsidRPr="00EB5084" w:rsidRDefault="00585473" w:rsidP="00585473">
      <w:pPr>
        <w:pStyle w:val="Prrafodelista"/>
        <w:numPr>
          <w:ilvl w:val="0"/>
          <w:numId w:val="8"/>
        </w:numPr>
        <w:tabs>
          <w:tab w:val="left" w:pos="426"/>
          <w:tab w:val="left" w:pos="1800"/>
        </w:tabs>
        <w:spacing w:after="240" w:line="240" w:lineRule="auto"/>
        <w:contextualSpacing w:val="0"/>
        <w:jc w:val="both"/>
        <w:rPr>
          <w:rFonts w:ascii="Arial" w:eastAsia="Calibri" w:hAnsi="Arial" w:cs="Arial"/>
        </w:rPr>
      </w:pPr>
      <w:r w:rsidRPr="00EB5084">
        <w:rPr>
          <w:rFonts w:ascii="Arial" w:eastAsia="Calibri" w:hAnsi="Arial" w:cs="Arial"/>
        </w:rPr>
        <w:t>El Costo de venta de los bienes y servicios es el valor de los bienes y servicios adquiridos, a los que no se les realizan ninguna transformación y son revendidos.</w:t>
      </w:r>
    </w:p>
    <w:p w:rsidR="00585473" w:rsidRPr="00EB5084" w:rsidRDefault="00585473" w:rsidP="00585473">
      <w:pPr>
        <w:pStyle w:val="Prrafodelista"/>
        <w:numPr>
          <w:ilvl w:val="0"/>
          <w:numId w:val="8"/>
        </w:numPr>
        <w:tabs>
          <w:tab w:val="left" w:pos="284"/>
          <w:tab w:val="left" w:pos="426"/>
          <w:tab w:val="left" w:pos="1800"/>
        </w:tabs>
        <w:spacing w:after="240" w:line="240" w:lineRule="auto"/>
        <w:contextualSpacing w:val="0"/>
        <w:jc w:val="both"/>
        <w:rPr>
          <w:rFonts w:ascii="Arial" w:eastAsiaTheme="minorHAnsi" w:hAnsi="Arial" w:cs="Arial"/>
          <w:lang w:eastAsia="en-US"/>
        </w:rPr>
      </w:pPr>
      <w:r w:rsidRPr="00EB5084">
        <w:rPr>
          <w:rFonts w:ascii="Arial" w:eastAsia="Calibri" w:hAnsi="Arial" w:cs="Arial"/>
        </w:rPr>
        <w:t xml:space="preserve">Todos los valores se registran en CUP empleando para la conversión la tasa de cambio oficial </w:t>
      </w:r>
    </w:p>
    <w:p w:rsidR="00585473" w:rsidRPr="00EB5084" w:rsidRDefault="00585473" w:rsidP="00585473">
      <w:pPr>
        <w:pStyle w:val="Prrafodelista"/>
        <w:numPr>
          <w:ilvl w:val="0"/>
          <w:numId w:val="8"/>
        </w:numPr>
        <w:tabs>
          <w:tab w:val="left" w:pos="284"/>
          <w:tab w:val="left" w:pos="1800"/>
        </w:tabs>
        <w:spacing w:after="240" w:line="240" w:lineRule="auto"/>
        <w:contextualSpacing w:val="0"/>
        <w:jc w:val="both"/>
        <w:rPr>
          <w:rFonts w:ascii="Arial" w:eastAsiaTheme="minorHAnsi" w:hAnsi="Arial" w:cs="Arial"/>
          <w:lang w:eastAsia="en-US"/>
        </w:rPr>
      </w:pPr>
      <w:r w:rsidRPr="00EB5084">
        <w:rPr>
          <w:rFonts w:ascii="Arial" w:eastAsiaTheme="minorHAnsi" w:hAnsi="Arial" w:cs="Arial"/>
          <w:lang w:eastAsia="en-US"/>
        </w:rPr>
        <w:t>Las producciones terminadas y para insumo o autoconsumo se valoran a precio de costo.</w:t>
      </w:r>
    </w:p>
    <w:p w:rsidR="00585473" w:rsidRPr="00EB5084" w:rsidRDefault="00585473" w:rsidP="00585473">
      <w:pPr>
        <w:pStyle w:val="Prrafodelista"/>
        <w:numPr>
          <w:ilvl w:val="0"/>
          <w:numId w:val="8"/>
        </w:numPr>
        <w:tabs>
          <w:tab w:val="left" w:pos="284"/>
          <w:tab w:val="left" w:pos="1800"/>
        </w:tabs>
        <w:spacing w:after="240" w:line="240" w:lineRule="auto"/>
        <w:contextualSpacing w:val="0"/>
        <w:jc w:val="both"/>
        <w:rPr>
          <w:rFonts w:ascii="Arial" w:hAnsi="Arial" w:cs="Arial"/>
        </w:rPr>
      </w:pPr>
      <w:r w:rsidRPr="00EB5084">
        <w:rPr>
          <w:rFonts w:ascii="Arial" w:hAnsi="Arial" w:cs="Arial"/>
        </w:rPr>
        <w:t>Las otras subvenciones que se deben informar en este formulario se detallan a continuación de acuerdo a lo establecido por el Ministerio de Finanzas y Precios: Resolución 206/2016</w:t>
      </w:r>
    </w:p>
    <w:tbl>
      <w:tblPr>
        <w:tblW w:w="11163" w:type="dxa"/>
        <w:jc w:val="center"/>
        <w:tblInd w:w="-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
        <w:gridCol w:w="4082"/>
        <w:gridCol w:w="29"/>
        <w:gridCol w:w="7023"/>
      </w:tblGrid>
      <w:tr w:rsidR="00585473" w:rsidRPr="00EB5084" w:rsidTr="00EC3364">
        <w:trPr>
          <w:gridBefore w:val="1"/>
          <w:wBefore w:w="29" w:type="dxa"/>
          <w:trHeight w:val="227"/>
          <w:tblHeader/>
          <w:jc w:val="center"/>
        </w:trPr>
        <w:tc>
          <w:tcPr>
            <w:tcW w:w="4111" w:type="dxa"/>
            <w:gridSpan w:val="2"/>
            <w:shd w:val="clear" w:color="auto" w:fill="auto"/>
            <w:vAlign w:val="center"/>
            <w:hideMark/>
          </w:tcPr>
          <w:p w:rsidR="00585473" w:rsidRPr="00EB5084" w:rsidRDefault="00585473" w:rsidP="00EC3364">
            <w:pPr>
              <w:spacing w:before="120" w:after="120" w:line="240" w:lineRule="auto"/>
              <w:rPr>
                <w:rFonts w:ascii="Arial" w:hAnsi="Arial" w:cs="Arial"/>
                <w:b/>
                <w:bCs/>
              </w:rPr>
            </w:pPr>
            <w:r w:rsidRPr="00EB5084">
              <w:rPr>
                <w:rFonts w:ascii="Arial" w:hAnsi="Arial" w:cs="Arial"/>
                <w:b/>
                <w:bCs/>
              </w:rPr>
              <w:t xml:space="preserve">Denominación de la transferencia </w:t>
            </w:r>
          </w:p>
        </w:tc>
        <w:tc>
          <w:tcPr>
            <w:tcW w:w="7023" w:type="dxa"/>
            <w:shd w:val="clear" w:color="auto" w:fill="auto"/>
            <w:noWrap/>
            <w:vAlign w:val="center"/>
            <w:hideMark/>
          </w:tcPr>
          <w:p w:rsidR="00585473" w:rsidRPr="00EB5084" w:rsidRDefault="00585473" w:rsidP="00EC3364">
            <w:pPr>
              <w:spacing w:before="120" w:after="120" w:line="240" w:lineRule="auto"/>
              <w:rPr>
                <w:rFonts w:ascii="Arial" w:hAnsi="Arial" w:cs="Arial"/>
                <w:b/>
                <w:bCs/>
              </w:rPr>
            </w:pPr>
            <w:r w:rsidRPr="00EB5084">
              <w:rPr>
                <w:rFonts w:ascii="Arial" w:hAnsi="Arial" w:cs="Arial"/>
                <w:b/>
                <w:bCs/>
              </w:rPr>
              <w:t>Descripción</w:t>
            </w:r>
          </w:p>
        </w:tc>
      </w:tr>
      <w:tr w:rsidR="00585473" w:rsidRPr="00EB5084" w:rsidTr="00EC3364">
        <w:trPr>
          <w:gridBefore w:val="1"/>
          <w:wBefore w:w="29" w:type="dxa"/>
          <w:trHeight w:val="450"/>
          <w:jc w:val="center"/>
        </w:trPr>
        <w:tc>
          <w:tcPr>
            <w:tcW w:w="4111" w:type="dxa"/>
            <w:gridSpan w:val="2"/>
            <w:shd w:val="clear" w:color="auto" w:fill="auto"/>
            <w:hideMark/>
          </w:tcPr>
          <w:p w:rsidR="00585473" w:rsidRPr="00EB5084" w:rsidRDefault="00585473" w:rsidP="00EC3364">
            <w:pPr>
              <w:spacing w:before="40" w:after="40" w:line="240" w:lineRule="auto"/>
              <w:rPr>
                <w:rFonts w:ascii="Arial" w:hAnsi="Arial" w:cs="Arial"/>
              </w:rPr>
            </w:pPr>
            <w:r w:rsidRPr="00EB5084">
              <w:rPr>
                <w:rFonts w:ascii="Arial" w:hAnsi="Arial" w:cs="Arial"/>
              </w:rPr>
              <w:t>Mantenimiento Silvícola Forestal</w:t>
            </w:r>
          </w:p>
        </w:tc>
        <w:tc>
          <w:tcPr>
            <w:tcW w:w="7023" w:type="dxa"/>
            <w:shd w:val="clear" w:color="auto" w:fill="auto"/>
            <w:hideMark/>
          </w:tcPr>
          <w:p w:rsidR="00585473" w:rsidRPr="00EB5084" w:rsidRDefault="00585473" w:rsidP="00EC3364">
            <w:pPr>
              <w:spacing w:before="40" w:after="40" w:line="240" w:lineRule="auto"/>
              <w:rPr>
                <w:rFonts w:ascii="Arial" w:hAnsi="Arial" w:cs="Arial"/>
              </w:rPr>
            </w:pPr>
            <w:r w:rsidRPr="00EB5084">
              <w:rPr>
                <w:rFonts w:ascii="Arial" w:hAnsi="Arial" w:cs="Arial"/>
              </w:rPr>
              <w:t>Financiar las labores de mantenimiento y conservación de las plantaciones silvícolas incluidas dentro del Fondo de Desarrollo Forestal que no constituyen transferencias de capital.</w:t>
            </w:r>
          </w:p>
        </w:tc>
      </w:tr>
      <w:tr w:rsidR="00585473" w:rsidRPr="00EB5084" w:rsidTr="00EC3364">
        <w:trPr>
          <w:gridBefore w:val="1"/>
          <w:wBefore w:w="29" w:type="dxa"/>
          <w:trHeight w:val="675"/>
          <w:jc w:val="center"/>
        </w:trPr>
        <w:tc>
          <w:tcPr>
            <w:tcW w:w="4111" w:type="dxa"/>
            <w:gridSpan w:val="2"/>
            <w:shd w:val="clear" w:color="auto" w:fill="auto"/>
            <w:hideMark/>
          </w:tcPr>
          <w:p w:rsidR="00585473" w:rsidRPr="00EB5084" w:rsidRDefault="00585473" w:rsidP="00EC3364">
            <w:pPr>
              <w:spacing w:before="40" w:after="40" w:line="240" w:lineRule="auto"/>
              <w:rPr>
                <w:rFonts w:ascii="Arial" w:hAnsi="Arial" w:cs="Arial"/>
              </w:rPr>
            </w:pPr>
            <w:r w:rsidRPr="00EB5084">
              <w:rPr>
                <w:rFonts w:ascii="Arial" w:hAnsi="Arial" w:cs="Arial"/>
              </w:rPr>
              <w:t>Atipicidad de la Fuerza de Trabajo</w:t>
            </w:r>
          </w:p>
        </w:tc>
        <w:tc>
          <w:tcPr>
            <w:tcW w:w="7023" w:type="dxa"/>
            <w:shd w:val="clear" w:color="auto" w:fill="auto"/>
            <w:hideMark/>
          </w:tcPr>
          <w:p w:rsidR="00585473" w:rsidRPr="00EB5084" w:rsidRDefault="00585473" w:rsidP="00EC3364">
            <w:pPr>
              <w:spacing w:before="40" w:after="40" w:line="240" w:lineRule="auto"/>
              <w:rPr>
                <w:rFonts w:ascii="Arial" w:hAnsi="Arial" w:cs="Arial"/>
              </w:rPr>
            </w:pPr>
            <w:r w:rsidRPr="00EB5084">
              <w:rPr>
                <w:rFonts w:ascii="Arial" w:hAnsi="Arial" w:cs="Arial"/>
              </w:rPr>
              <w:t xml:space="preserve">Financiar la afectación económica a las granjas y </w:t>
            </w:r>
            <w:proofErr w:type="spellStart"/>
            <w:r w:rsidRPr="00EB5084">
              <w:rPr>
                <w:rFonts w:ascii="Arial" w:hAnsi="Arial" w:cs="Arial"/>
              </w:rPr>
              <w:t>emp</w:t>
            </w:r>
            <w:proofErr w:type="spellEnd"/>
            <w:r w:rsidRPr="00EB5084">
              <w:rPr>
                <w:rFonts w:ascii="Arial" w:hAnsi="Arial" w:cs="Arial"/>
              </w:rPr>
              <w:t>. Estatales por la utilización de fuerzas del EJT en labores agrícolas. Mediante certificación de los gastos en que se incurra, de acuerdo con la cantidad de personal del EJT utilizado en las labores agrícolas.</w:t>
            </w:r>
          </w:p>
        </w:tc>
      </w:tr>
      <w:tr w:rsidR="00585473" w:rsidRPr="00EB5084" w:rsidTr="00EC3364">
        <w:trPr>
          <w:gridBefore w:val="1"/>
          <w:wBefore w:w="29" w:type="dxa"/>
          <w:trHeight w:val="570"/>
          <w:jc w:val="center"/>
        </w:trPr>
        <w:tc>
          <w:tcPr>
            <w:tcW w:w="4111" w:type="dxa"/>
            <w:gridSpan w:val="2"/>
            <w:shd w:val="clear" w:color="auto" w:fill="auto"/>
            <w:hideMark/>
          </w:tcPr>
          <w:p w:rsidR="00585473" w:rsidRPr="00EB5084" w:rsidRDefault="00585473" w:rsidP="00EC3364">
            <w:pPr>
              <w:spacing w:before="40" w:after="40" w:line="240" w:lineRule="auto"/>
              <w:rPr>
                <w:rFonts w:ascii="Arial" w:hAnsi="Arial" w:cs="Arial"/>
              </w:rPr>
            </w:pPr>
            <w:r w:rsidRPr="00EB5084">
              <w:rPr>
                <w:rFonts w:ascii="Arial" w:hAnsi="Arial" w:cs="Arial"/>
              </w:rPr>
              <w:t>Conservación y Mantenimiento de Suelos</w:t>
            </w:r>
          </w:p>
        </w:tc>
        <w:tc>
          <w:tcPr>
            <w:tcW w:w="7023" w:type="dxa"/>
            <w:shd w:val="clear" w:color="auto" w:fill="auto"/>
            <w:hideMark/>
          </w:tcPr>
          <w:p w:rsidR="00585473" w:rsidRPr="00EB5084" w:rsidRDefault="00585473" w:rsidP="00EC3364">
            <w:pPr>
              <w:spacing w:before="40" w:after="40" w:line="240" w:lineRule="auto"/>
              <w:rPr>
                <w:rFonts w:ascii="Arial" w:hAnsi="Arial" w:cs="Arial"/>
              </w:rPr>
            </w:pPr>
            <w:r w:rsidRPr="00EB5084">
              <w:rPr>
                <w:rFonts w:ascii="Arial" w:hAnsi="Arial" w:cs="Arial"/>
              </w:rPr>
              <w:t>Financiar los gastos que se ejecutan para el mejoramiento y la conservación de los suelos no incluidos en las Inversiones Materiales.</w:t>
            </w:r>
          </w:p>
        </w:tc>
      </w:tr>
      <w:tr w:rsidR="00585473" w:rsidRPr="00EB5084" w:rsidTr="00EC3364">
        <w:trPr>
          <w:gridBefore w:val="1"/>
          <w:wBefore w:w="29" w:type="dxa"/>
          <w:trHeight w:val="1350"/>
          <w:jc w:val="center"/>
        </w:trPr>
        <w:tc>
          <w:tcPr>
            <w:tcW w:w="4111" w:type="dxa"/>
            <w:gridSpan w:val="2"/>
            <w:shd w:val="clear" w:color="auto" w:fill="auto"/>
            <w:hideMark/>
          </w:tcPr>
          <w:p w:rsidR="00585473" w:rsidRPr="00EB5084" w:rsidRDefault="00585473" w:rsidP="00EC3364">
            <w:pPr>
              <w:spacing w:before="40" w:after="40" w:line="240" w:lineRule="auto"/>
              <w:rPr>
                <w:rFonts w:ascii="Arial" w:hAnsi="Arial" w:cs="Arial"/>
              </w:rPr>
            </w:pPr>
            <w:r w:rsidRPr="00EB5084">
              <w:rPr>
                <w:rFonts w:ascii="Arial" w:hAnsi="Arial" w:cs="Arial"/>
              </w:rPr>
              <w:t xml:space="preserve">Ganadería Genética </w:t>
            </w:r>
          </w:p>
        </w:tc>
        <w:tc>
          <w:tcPr>
            <w:tcW w:w="7023" w:type="dxa"/>
            <w:shd w:val="clear" w:color="auto" w:fill="auto"/>
            <w:hideMark/>
          </w:tcPr>
          <w:p w:rsidR="00585473" w:rsidRPr="00EB5084" w:rsidRDefault="00585473" w:rsidP="00EC3364">
            <w:pPr>
              <w:spacing w:before="40" w:after="40" w:line="240" w:lineRule="auto"/>
              <w:rPr>
                <w:rFonts w:ascii="Arial" w:hAnsi="Arial" w:cs="Arial"/>
              </w:rPr>
            </w:pPr>
            <w:r w:rsidRPr="00EB5084">
              <w:rPr>
                <w:rFonts w:ascii="Arial" w:hAnsi="Arial" w:cs="Arial"/>
              </w:rPr>
              <w:t xml:space="preserve">Financiar los gastos en que se incurre en las actividades de proyectos de desarrollo genético, la prueba de comportamiento, la prueba de progenie, creación de nuevas razas, embriones y cuadras y ferias, sin su correspondiente contraparte en ingresos Mediante certificación para cada una de las empresas y granjas relacionadas en el anexo correspondiente por las actividades factibles de recibir financiamiento, identificadas contablemente mediante centros de gastos </w:t>
            </w:r>
            <w:r w:rsidRPr="00EB5084">
              <w:rPr>
                <w:rFonts w:ascii="Arial" w:hAnsi="Arial" w:cs="Arial"/>
              </w:rPr>
              <w:lastRenderedPageBreak/>
              <w:t>independientes, aspecto que revisa para actualizar cada dos años como condición indispensable para dar continuidad al financiamiento.</w:t>
            </w:r>
          </w:p>
        </w:tc>
      </w:tr>
      <w:tr w:rsidR="00585473" w:rsidRPr="00EB5084" w:rsidTr="00EC3364">
        <w:trPr>
          <w:gridBefore w:val="1"/>
          <w:wBefore w:w="29" w:type="dxa"/>
          <w:trHeight w:val="900"/>
          <w:jc w:val="center"/>
        </w:trPr>
        <w:tc>
          <w:tcPr>
            <w:tcW w:w="4111" w:type="dxa"/>
            <w:gridSpan w:val="2"/>
            <w:shd w:val="clear" w:color="auto" w:fill="auto"/>
            <w:hideMark/>
          </w:tcPr>
          <w:p w:rsidR="00585473" w:rsidRPr="00EB5084" w:rsidRDefault="00585473" w:rsidP="00EC3364">
            <w:pPr>
              <w:spacing w:before="40" w:after="40" w:line="240" w:lineRule="auto"/>
              <w:rPr>
                <w:rFonts w:ascii="Arial" w:hAnsi="Arial" w:cs="Arial"/>
              </w:rPr>
            </w:pPr>
            <w:r w:rsidRPr="00EB5084">
              <w:rPr>
                <w:rFonts w:ascii="Arial" w:hAnsi="Arial" w:cs="Arial"/>
              </w:rPr>
              <w:lastRenderedPageBreak/>
              <w:t xml:space="preserve">Plagas y Enfermedades </w:t>
            </w:r>
          </w:p>
        </w:tc>
        <w:tc>
          <w:tcPr>
            <w:tcW w:w="7023" w:type="dxa"/>
            <w:shd w:val="clear" w:color="auto" w:fill="auto"/>
            <w:hideMark/>
          </w:tcPr>
          <w:p w:rsidR="00585473" w:rsidRPr="00EB5084" w:rsidRDefault="00585473" w:rsidP="00EC3364">
            <w:pPr>
              <w:spacing w:before="40" w:after="40" w:line="240" w:lineRule="auto"/>
              <w:rPr>
                <w:rFonts w:ascii="Arial" w:hAnsi="Arial" w:cs="Arial"/>
              </w:rPr>
            </w:pPr>
            <w:r w:rsidRPr="00EB5084">
              <w:rPr>
                <w:rFonts w:ascii="Arial" w:hAnsi="Arial" w:cs="Arial"/>
              </w:rPr>
              <w:t>Financiar los gastos en que incurran los productores agropecuarios en función de aplicar las medidas de control y prevención de plagas y enfermedades que hayan sido adoptadas por interés estatal. Se presenta certificación de gastos incurridos en el período para el cual se solicita el financiamiento, avalada por las autoridades competentes de Sanidad Vegetal y Animal del territorio.</w:t>
            </w:r>
          </w:p>
        </w:tc>
      </w:tr>
      <w:tr w:rsidR="00585473" w:rsidRPr="00EB5084" w:rsidTr="00EC3364">
        <w:trPr>
          <w:gridBefore w:val="1"/>
          <w:wBefore w:w="29" w:type="dxa"/>
          <w:trHeight w:val="450"/>
          <w:jc w:val="center"/>
        </w:trPr>
        <w:tc>
          <w:tcPr>
            <w:tcW w:w="4111" w:type="dxa"/>
            <w:gridSpan w:val="2"/>
            <w:shd w:val="clear" w:color="auto" w:fill="auto"/>
            <w:hideMark/>
          </w:tcPr>
          <w:p w:rsidR="00585473" w:rsidRPr="00EB5084" w:rsidRDefault="00585473" w:rsidP="00EC3364">
            <w:pPr>
              <w:spacing w:before="40" w:after="40" w:line="240" w:lineRule="auto"/>
              <w:rPr>
                <w:rFonts w:ascii="Arial" w:hAnsi="Arial" w:cs="Arial"/>
              </w:rPr>
            </w:pPr>
            <w:r w:rsidRPr="00EB5084">
              <w:rPr>
                <w:rFonts w:ascii="Arial" w:hAnsi="Arial" w:cs="Arial"/>
              </w:rPr>
              <w:t>Conservación de  Flora y Fauna</w:t>
            </w:r>
          </w:p>
        </w:tc>
        <w:tc>
          <w:tcPr>
            <w:tcW w:w="7023" w:type="dxa"/>
            <w:shd w:val="clear" w:color="auto" w:fill="auto"/>
            <w:hideMark/>
          </w:tcPr>
          <w:p w:rsidR="00585473" w:rsidRPr="00EB5084" w:rsidRDefault="00585473" w:rsidP="00EC3364">
            <w:pPr>
              <w:spacing w:before="40" w:after="40" w:line="240" w:lineRule="auto"/>
              <w:rPr>
                <w:rFonts w:ascii="Arial" w:hAnsi="Arial" w:cs="Arial"/>
              </w:rPr>
            </w:pPr>
            <w:r w:rsidRPr="00EB5084">
              <w:rPr>
                <w:rFonts w:ascii="Arial" w:hAnsi="Arial" w:cs="Arial"/>
              </w:rPr>
              <w:t>Financiamiento de los gastos de las labores que se realizan de interés estatal que no generan ingresos y no se corresponden con inversiones.</w:t>
            </w:r>
          </w:p>
        </w:tc>
      </w:tr>
      <w:tr w:rsidR="00585473" w:rsidRPr="00EB5084" w:rsidTr="00EC3364">
        <w:trPr>
          <w:gridBefore w:val="1"/>
          <w:wBefore w:w="29" w:type="dxa"/>
          <w:trHeight w:val="900"/>
          <w:jc w:val="center"/>
        </w:trPr>
        <w:tc>
          <w:tcPr>
            <w:tcW w:w="4111" w:type="dxa"/>
            <w:gridSpan w:val="2"/>
            <w:shd w:val="clear" w:color="auto" w:fill="auto"/>
            <w:hideMark/>
          </w:tcPr>
          <w:p w:rsidR="00585473" w:rsidRPr="00EB5084" w:rsidRDefault="00585473" w:rsidP="00EC3364">
            <w:pPr>
              <w:spacing w:before="40" w:after="40" w:line="240" w:lineRule="auto"/>
              <w:rPr>
                <w:rFonts w:ascii="Arial" w:hAnsi="Arial" w:cs="Arial"/>
              </w:rPr>
            </w:pPr>
            <w:r w:rsidRPr="00EB5084">
              <w:rPr>
                <w:rFonts w:ascii="Arial" w:hAnsi="Arial" w:cs="Arial"/>
              </w:rPr>
              <w:t>Plagas y Enfermedades</w:t>
            </w:r>
          </w:p>
        </w:tc>
        <w:tc>
          <w:tcPr>
            <w:tcW w:w="7023" w:type="dxa"/>
            <w:shd w:val="clear" w:color="auto" w:fill="auto"/>
            <w:hideMark/>
          </w:tcPr>
          <w:p w:rsidR="00585473" w:rsidRPr="00EB5084" w:rsidRDefault="00585473" w:rsidP="00EC3364">
            <w:pPr>
              <w:spacing w:before="40" w:after="40" w:line="240" w:lineRule="auto"/>
              <w:rPr>
                <w:rFonts w:ascii="Arial" w:hAnsi="Arial" w:cs="Arial"/>
              </w:rPr>
            </w:pPr>
            <w:r w:rsidRPr="00EB5084">
              <w:rPr>
                <w:rFonts w:ascii="Arial" w:hAnsi="Arial" w:cs="Arial"/>
              </w:rPr>
              <w:t>Financiar los gastos en que incurran los productores agropecuarios en función de aplicar las medidas de control y prevención de plagas y enfermedades que hayan sido adoptadas por interés estatal. Se presenta certificación de gastos incurridos en el período para el cual se solicita el financiamiento, avalada por las autoridades competentes de Sanidad Vegetal y Animal del territorio.</w:t>
            </w:r>
          </w:p>
        </w:tc>
      </w:tr>
      <w:tr w:rsidR="00585473" w:rsidRPr="00EB5084" w:rsidTr="00EC3364">
        <w:trPr>
          <w:gridBefore w:val="1"/>
          <w:wBefore w:w="29" w:type="dxa"/>
          <w:trHeight w:val="450"/>
          <w:jc w:val="center"/>
        </w:trPr>
        <w:tc>
          <w:tcPr>
            <w:tcW w:w="4111" w:type="dxa"/>
            <w:gridSpan w:val="2"/>
            <w:shd w:val="clear" w:color="auto" w:fill="auto"/>
            <w:hideMark/>
          </w:tcPr>
          <w:p w:rsidR="00585473" w:rsidRPr="00EB5084" w:rsidRDefault="00585473" w:rsidP="00EC3364">
            <w:pPr>
              <w:spacing w:before="40" w:after="40" w:line="240" w:lineRule="auto"/>
              <w:rPr>
                <w:rFonts w:ascii="Arial" w:hAnsi="Arial" w:cs="Arial"/>
              </w:rPr>
            </w:pPr>
            <w:r w:rsidRPr="00EB5084">
              <w:rPr>
                <w:rFonts w:ascii="Arial" w:hAnsi="Arial" w:cs="Arial"/>
              </w:rPr>
              <w:t>Atipicidad de la Fuerza de Trabajo</w:t>
            </w:r>
          </w:p>
        </w:tc>
        <w:tc>
          <w:tcPr>
            <w:tcW w:w="7023" w:type="dxa"/>
            <w:shd w:val="clear" w:color="auto" w:fill="auto"/>
            <w:hideMark/>
          </w:tcPr>
          <w:p w:rsidR="00585473" w:rsidRPr="00EB5084" w:rsidRDefault="00585473" w:rsidP="00EC3364">
            <w:pPr>
              <w:spacing w:before="40" w:after="40" w:line="240" w:lineRule="auto"/>
              <w:rPr>
                <w:rFonts w:ascii="Arial" w:hAnsi="Arial" w:cs="Arial"/>
              </w:rPr>
            </w:pPr>
            <w:r w:rsidRPr="00EB5084">
              <w:rPr>
                <w:rFonts w:ascii="Arial" w:hAnsi="Arial" w:cs="Arial"/>
              </w:rPr>
              <w:t>Financiar a las granjas del Ejército Juvenil del Trabajo por los gastos reconocidos en la legislación vigente para este concepto.</w:t>
            </w:r>
          </w:p>
        </w:tc>
      </w:tr>
      <w:tr w:rsidR="00585473" w:rsidRPr="00EB5084" w:rsidTr="00EC3364">
        <w:trPr>
          <w:gridBefore w:val="1"/>
          <w:wBefore w:w="29" w:type="dxa"/>
          <w:trHeight w:val="675"/>
          <w:jc w:val="center"/>
        </w:trPr>
        <w:tc>
          <w:tcPr>
            <w:tcW w:w="4111" w:type="dxa"/>
            <w:gridSpan w:val="2"/>
            <w:shd w:val="clear" w:color="auto" w:fill="auto"/>
            <w:hideMark/>
          </w:tcPr>
          <w:p w:rsidR="00585473" w:rsidRPr="00EB5084" w:rsidRDefault="00585473" w:rsidP="00EC3364">
            <w:pPr>
              <w:spacing w:before="40" w:after="40" w:line="240" w:lineRule="auto"/>
              <w:rPr>
                <w:rFonts w:ascii="Arial" w:hAnsi="Arial" w:cs="Arial"/>
              </w:rPr>
            </w:pPr>
            <w:r w:rsidRPr="00EB5084">
              <w:rPr>
                <w:rFonts w:ascii="Arial" w:hAnsi="Arial" w:cs="Arial"/>
              </w:rPr>
              <w:t>Acarreo  de Leche</w:t>
            </w:r>
          </w:p>
        </w:tc>
        <w:tc>
          <w:tcPr>
            <w:tcW w:w="7023" w:type="dxa"/>
            <w:shd w:val="clear" w:color="auto" w:fill="auto"/>
            <w:hideMark/>
          </w:tcPr>
          <w:p w:rsidR="00585473" w:rsidRPr="00EB5084" w:rsidRDefault="00585473" w:rsidP="00EC3364">
            <w:pPr>
              <w:spacing w:before="40" w:after="40" w:line="240" w:lineRule="auto"/>
              <w:rPr>
                <w:rFonts w:ascii="Arial" w:hAnsi="Arial" w:cs="Arial"/>
              </w:rPr>
            </w:pPr>
            <w:r w:rsidRPr="00EB5084">
              <w:rPr>
                <w:rFonts w:ascii="Arial" w:hAnsi="Arial" w:cs="Arial"/>
              </w:rPr>
              <w:t>Financiar los gastos en que incurren las empresas por el acarreo de la leche que se entrega directamente por los productores. Mediante certificación se determina para cada productor la cantidad, la distancia recorrida y la tarifa a aplicar por el acarreo de leche.</w:t>
            </w:r>
          </w:p>
        </w:tc>
      </w:tr>
      <w:tr w:rsidR="00585473" w:rsidRPr="00EB5084" w:rsidTr="00EC3364">
        <w:trPr>
          <w:gridBefore w:val="1"/>
          <w:wBefore w:w="29" w:type="dxa"/>
          <w:trHeight w:val="570"/>
          <w:jc w:val="center"/>
        </w:trPr>
        <w:tc>
          <w:tcPr>
            <w:tcW w:w="4111" w:type="dxa"/>
            <w:gridSpan w:val="2"/>
            <w:shd w:val="clear" w:color="auto" w:fill="auto"/>
            <w:hideMark/>
          </w:tcPr>
          <w:p w:rsidR="00585473" w:rsidRPr="00EB5084" w:rsidRDefault="00585473" w:rsidP="00EC3364">
            <w:pPr>
              <w:spacing w:before="40" w:after="40" w:line="240" w:lineRule="auto"/>
              <w:rPr>
                <w:rFonts w:ascii="Arial" w:hAnsi="Arial" w:cs="Arial"/>
              </w:rPr>
            </w:pPr>
            <w:r w:rsidRPr="00EB5084">
              <w:rPr>
                <w:rFonts w:ascii="Arial" w:hAnsi="Arial" w:cs="Arial"/>
              </w:rPr>
              <w:t xml:space="preserve">Almacenamiento y Conservación Equipos </w:t>
            </w:r>
          </w:p>
        </w:tc>
        <w:tc>
          <w:tcPr>
            <w:tcW w:w="7023" w:type="dxa"/>
            <w:shd w:val="clear" w:color="auto" w:fill="auto"/>
            <w:hideMark/>
          </w:tcPr>
          <w:p w:rsidR="00585473" w:rsidRPr="00EB5084" w:rsidRDefault="00585473" w:rsidP="00EC3364">
            <w:pPr>
              <w:spacing w:before="40" w:after="40" w:line="240" w:lineRule="auto"/>
              <w:rPr>
                <w:rFonts w:ascii="Arial" w:hAnsi="Arial" w:cs="Arial"/>
              </w:rPr>
            </w:pPr>
            <w:r w:rsidRPr="00EB5084">
              <w:rPr>
                <w:rFonts w:ascii="Arial" w:hAnsi="Arial" w:cs="Arial"/>
              </w:rPr>
              <w:t>Se financian los gastos de almacenaje y mantenimiento de los equipos que constituyen inventarios de la Reserva Estatal. Mediante certificación de estos gastos.</w:t>
            </w:r>
          </w:p>
        </w:tc>
      </w:tr>
      <w:tr w:rsidR="00585473" w:rsidRPr="00EB5084" w:rsidTr="00EC3364">
        <w:trPr>
          <w:gridBefore w:val="1"/>
          <w:wBefore w:w="29" w:type="dxa"/>
          <w:trHeight w:val="227"/>
          <w:jc w:val="center"/>
        </w:trPr>
        <w:tc>
          <w:tcPr>
            <w:tcW w:w="4111" w:type="dxa"/>
            <w:gridSpan w:val="2"/>
            <w:shd w:val="clear" w:color="auto" w:fill="auto"/>
            <w:hideMark/>
          </w:tcPr>
          <w:p w:rsidR="00585473" w:rsidRPr="00EB5084" w:rsidRDefault="00585473" w:rsidP="00EC3364">
            <w:pPr>
              <w:spacing w:before="40" w:after="40" w:line="240" w:lineRule="auto"/>
              <w:rPr>
                <w:rFonts w:ascii="Arial" w:hAnsi="Arial" w:cs="Arial"/>
              </w:rPr>
            </w:pPr>
            <w:r w:rsidRPr="00EB5084">
              <w:rPr>
                <w:rFonts w:ascii="Arial" w:hAnsi="Arial" w:cs="Arial"/>
              </w:rPr>
              <w:t>Almacenamiento y Conservación de Equipos</w:t>
            </w:r>
          </w:p>
        </w:tc>
        <w:tc>
          <w:tcPr>
            <w:tcW w:w="7023" w:type="dxa"/>
            <w:shd w:val="clear" w:color="auto" w:fill="auto"/>
            <w:hideMark/>
          </w:tcPr>
          <w:p w:rsidR="00585473" w:rsidRPr="00EB5084" w:rsidRDefault="00585473" w:rsidP="00EC3364">
            <w:pPr>
              <w:spacing w:before="40" w:after="40" w:line="240" w:lineRule="auto"/>
              <w:rPr>
                <w:rFonts w:ascii="Arial" w:hAnsi="Arial" w:cs="Arial"/>
              </w:rPr>
            </w:pPr>
            <w:r w:rsidRPr="00EB5084">
              <w:rPr>
                <w:rFonts w:ascii="Arial" w:hAnsi="Arial" w:cs="Arial"/>
              </w:rPr>
              <w:t> </w:t>
            </w:r>
          </w:p>
        </w:tc>
      </w:tr>
      <w:tr w:rsidR="00585473" w:rsidRPr="00EB5084" w:rsidTr="00EC3364">
        <w:trPr>
          <w:gridBefore w:val="1"/>
          <w:wBefore w:w="29" w:type="dxa"/>
          <w:trHeight w:val="675"/>
          <w:jc w:val="center"/>
        </w:trPr>
        <w:tc>
          <w:tcPr>
            <w:tcW w:w="4111" w:type="dxa"/>
            <w:gridSpan w:val="2"/>
            <w:shd w:val="clear" w:color="auto" w:fill="auto"/>
            <w:hideMark/>
          </w:tcPr>
          <w:p w:rsidR="00585473" w:rsidRPr="00EB5084" w:rsidRDefault="00585473" w:rsidP="00EC3364">
            <w:pPr>
              <w:spacing w:before="40" w:after="40" w:line="240" w:lineRule="auto"/>
              <w:rPr>
                <w:rFonts w:ascii="Arial" w:hAnsi="Arial" w:cs="Arial"/>
              </w:rPr>
            </w:pPr>
            <w:r w:rsidRPr="00EB5084">
              <w:rPr>
                <w:rFonts w:ascii="Arial" w:hAnsi="Arial" w:cs="Arial"/>
              </w:rPr>
              <w:t>Atipicidad de la Fuerza de Trabajo</w:t>
            </w:r>
          </w:p>
        </w:tc>
        <w:tc>
          <w:tcPr>
            <w:tcW w:w="7023" w:type="dxa"/>
            <w:shd w:val="clear" w:color="auto" w:fill="auto"/>
            <w:hideMark/>
          </w:tcPr>
          <w:p w:rsidR="00585473" w:rsidRPr="00EB5084" w:rsidRDefault="00585473" w:rsidP="00EC3364">
            <w:pPr>
              <w:spacing w:before="40" w:after="40" w:line="240" w:lineRule="auto"/>
              <w:rPr>
                <w:rFonts w:ascii="Arial" w:hAnsi="Arial" w:cs="Arial"/>
              </w:rPr>
            </w:pPr>
            <w:r w:rsidRPr="00EB5084">
              <w:rPr>
                <w:rFonts w:ascii="Arial" w:hAnsi="Arial" w:cs="Arial"/>
              </w:rPr>
              <w:t>Financiar la afectación económica a las empresas estatales por la utilización de las fuerzas del EJT en labores ferroviarias. Mediante certificación de los gastos en que se incurra, de acuerdo con la cantidad de personal del EJT utilizado en estas labores.</w:t>
            </w:r>
          </w:p>
        </w:tc>
      </w:tr>
      <w:tr w:rsidR="00585473" w:rsidRPr="00EB5084" w:rsidTr="00EC3364">
        <w:trPr>
          <w:gridBefore w:val="1"/>
          <w:wBefore w:w="29" w:type="dxa"/>
          <w:trHeight w:val="570"/>
          <w:jc w:val="center"/>
        </w:trPr>
        <w:tc>
          <w:tcPr>
            <w:tcW w:w="4111" w:type="dxa"/>
            <w:gridSpan w:val="2"/>
            <w:shd w:val="clear" w:color="auto" w:fill="auto"/>
            <w:hideMark/>
          </w:tcPr>
          <w:p w:rsidR="00585473" w:rsidRPr="00EB5084" w:rsidRDefault="00585473" w:rsidP="00EC3364">
            <w:pPr>
              <w:spacing w:before="40" w:after="40" w:line="240" w:lineRule="auto"/>
              <w:rPr>
                <w:rFonts w:ascii="Arial" w:hAnsi="Arial" w:cs="Arial"/>
              </w:rPr>
            </w:pPr>
            <w:r w:rsidRPr="00EB5084">
              <w:rPr>
                <w:rFonts w:ascii="Arial" w:hAnsi="Arial" w:cs="Arial"/>
              </w:rPr>
              <w:t>Almacenamiento y Conservación de Equipos</w:t>
            </w:r>
          </w:p>
        </w:tc>
        <w:tc>
          <w:tcPr>
            <w:tcW w:w="7023" w:type="dxa"/>
            <w:shd w:val="clear" w:color="auto" w:fill="auto"/>
            <w:hideMark/>
          </w:tcPr>
          <w:p w:rsidR="00585473" w:rsidRPr="00EB5084" w:rsidRDefault="00585473" w:rsidP="00EC3364">
            <w:pPr>
              <w:spacing w:before="40" w:after="40" w:line="240" w:lineRule="auto"/>
              <w:rPr>
                <w:rFonts w:ascii="Arial" w:hAnsi="Arial" w:cs="Arial"/>
              </w:rPr>
            </w:pPr>
            <w:r w:rsidRPr="00EB5084">
              <w:rPr>
                <w:rFonts w:ascii="Arial" w:hAnsi="Arial" w:cs="Arial"/>
              </w:rPr>
              <w:t>Se financian los gastos de almacenaje y mantenimiento de los equipos que constituyen inventarios de la Reserva Estatal. Mediante certificación de estos gastos.</w:t>
            </w:r>
          </w:p>
        </w:tc>
      </w:tr>
      <w:tr w:rsidR="00585473" w:rsidRPr="00EB5084" w:rsidTr="00EC3364">
        <w:trPr>
          <w:gridBefore w:val="1"/>
          <w:wBefore w:w="29" w:type="dxa"/>
          <w:trHeight w:val="675"/>
          <w:jc w:val="center"/>
        </w:trPr>
        <w:tc>
          <w:tcPr>
            <w:tcW w:w="4111" w:type="dxa"/>
            <w:gridSpan w:val="2"/>
            <w:shd w:val="clear" w:color="auto" w:fill="auto"/>
            <w:hideMark/>
          </w:tcPr>
          <w:p w:rsidR="00585473" w:rsidRPr="00EB5084" w:rsidRDefault="00585473" w:rsidP="00EC3364">
            <w:pPr>
              <w:spacing w:before="40" w:after="40" w:line="240" w:lineRule="auto"/>
              <w:rPr>
                <w:rFonts w:ascii="Arial" w:hAnsi="Arial" w:cs="Arial"/>
              </w:rPr>
            </w:pPr>
            <w:r w:rsidRPr="00EB5084">
              <w:rPr>
                <w:rFonts w:ascii="Arial" w:hAnsi="Arial" w:cs="Arial"/>
              </w:rPr>
              <w:t>Acarreo de leche</w:t>
            </w:r>
          </w:p>
        </w:tc>
        <w:tc>
          <w:tcPr>
            <w:tcW w:w="7023" w:type="dxa"/>
            <w:shd w:val="clear" w:color="auto" w:fill="auto"/>
            <w:hideMark/>
          </w:tcPr>
          <w:p w:rsidR="00585473" w:rsidRPr="00EB5084" w:rsidRDefault="00585473" w:rsidP="00EC3364">
            <w:pPr>
              <w:spacing w:before="40" w:after="40" w:line="240" w:lineRule="auto"/>
              <w:rPr>
                <w:rFonts w:ascii="Arial" w:hAnsi="Arial" w:cs="Arial"/>
              </w:rPr>
            </w:pPr>
            <w:r w:rsidRPr="00EB5084">
              <w:rPr>
                <w:rFonts w:ascii="Arial" w:hAnsi="Arial" w:cs="Arial"/>
              </w:rPr>
              <w:t xml:space="preserve">Financiar los gastos en que incurren las </w:t>
            </w:r>
            <w:bookmarkStart w:id="0" w:name="_GoBack"/>
            <w:r w:rsidRPr="00EB5084">
              <w:rPr>
                <w:rFonts w:ascii="Arial" w:hAnsi="Arial" w:cs="Arial"/>
              </w:rPr>
              <w:t>empres</w:t>
            </w:r>
            <w:bookmarkEnd w:id="0"/>
            <w:r w:rsidRPr="00EB5084">
              <w:rPr>
                <w:rFonts w:ascii="Arial" w:hAnsi="Arial" w:cs="Arial"/>
              </w:rPr>
              <w:t>as por el acarreo de la leche que se entrega directamente por los productores. Mediante certificación se determina para cada productor la cantidad, la distancia recorrida y la tarifa a aplicar por el acarreo de leche.</w:t>
            </w:r>
          </w:p>
        </w:tc>
      </w:tr>
      <w:tr w:rsidR="00585473" w:rsidRPr="00EB5084" w:rsidTr="00EC3364">
        <w:tblPrEx>
          <w:jc w:val="left"/>
        </w:tblPrEx>
        <w:trPr>
          <w:trHeight w:val="450"/>
          <w:tblHeader/>
        </w:trPr>
        <w:tc>
          <w:tcPr>
            <w:tcW w:w="4111" w:type="dxa"/>
            <w:gridSpan w:val="2"/>
            <w:shd w:val="clear" w:color="auto" w:fill="auto"/>
            <w:hideMark/>
          </w:tcPr>
          <w:p w:rsidR="00585473" w:rsidRPr="00EB5084" w:rsidRDefault="00585473" w:rsidP="00EC3364">
            <w:pPr>
              <w:spacing w:before="40" w:after="40" w:line="240" w:lineRule="auto"/>
              <w:rPr>
                <w:rFonts w:ascii="Arial" w:hAnsi="Arial" w:cs="Arial"/>
              </w:rPr>
            </w:pPr>
            <w:r w:rsidRPr="00EB5084">
              <w:rPr>
                <w:rFonts w:ascii="Arial" w:hAnsi="Arial" w:cs="Arial"/>
              </w:rPr>
              <w:t xml:space="preserve">Comisión Liquidadora </w:t>
            </w:r>
          </w:p>
        </w:tc>
        <w:tc>
          <w:tcPr>
            <w:tcW w:w="7052" w:type="dxa"/>
            <w:gridSpan w:val="2"/>
            <w:shd w:val="clear" w:color="auto" w:fill="auto"/>
            <w:hideMark/>
          </w:tcPr>
          <w:p w:rsidR="00585473" w:rsidRPr="00EB5084" w:rsidRDefault="00585473" w:rsidP="00EC3364">
            <w:pPr>
              <w:spacing w:before="40" w:after="40" w:line="240" w:lineRule="auto"/>
              <w:rPr>
                <w:rFonts w:ascii="Arial" w:hAnsi="Arial" w:cs="Arial"/>
              </w:rPr>
            </w:pPr>
            <w:r w:rsidRPr="00EB5084">
              <w:rPr>
                <w:rFonts w:ascii="Arial" w:hAnsi="Arial" w:cs="Arial"/>
              </w:rPr>
              <w:t>Financiar los gastos en que incurren las Comisiones liquidadoras en el caso de la fusión o extinción de empresas subordinadas al organismo, los que se establecen en la Resolución 127/2015 de este Ministerio.</w:t>
            </w:r>
          </w:p>
        </w:tc>
      </w:tr>
      <w:tr w:rsidR="00585473" w:rsidRPr="00EB5084" w:rsidTr="00EC3364">
        <w:tblPrEx>
          <w:jc w:val="left"/>
        </w:tblPrEx>
        <w:trPr>
          <w:trHeight w:val="1125"/>
          <w:tblHeader/>
        </w:trPr>
        <w:tc>
          <w:tcPr>
            <w:tcW w:w="4111" w:type="dxa"/>
            <w:gridSpan w:val="2"/>
            <w:shd w:val="clear" w:color="auto" w:fill="auto"/>
            <w:hideMark/>
          </w:tcPr>
          <w:p w:rsidR="00585473" w:rsidRPr="00EB5084" w:rsidRDefault="00585473" w:rsidP="00EC3364">
            <w:pPr>
              <w:spacing w:before="40" w:after="40" w:line="240" w:lineRule="auto"/>
              <w:rPr>
                <w:rFonts w:ascii="Arial" w:hAnsi="Arial" w:cs="Arial"/>
              </w:rPr>
            </w:pPr>
            <w:r w:rsidRPr="00EB5084">
              <w:rPr>
                <w:rFonts w:ascii="Arial" w:hAnsi="Arial" w:cs="Arial"/>
              </w:rPr>
              <w:lastRenderedPageBreak/>
              <w:t>Pago de salario fuerza contratada inversión extranjera</w:t>
            </w:r>
          </w:p>
        </w:tc>
        <w:tc>
          <w:tcPr>
            <w:tcW w:w="7052" w:type="dxa"/>
            <w:gridSpan w:val="2"/>
            <w:shd w:val="clear" w:color="auto" w:fill="auto"/>
            <w:hideMark/>
          </w:tcPr>
          <w:p w:rsidR="00585473" w:rsidRPr="00EB5084" w:rsidRDefault="00585473" w:rsidP="00EC3364">
            <w:pPr>
              <w:spacing w:before="40" w:after="40" w:line="240" w:lineRule="auto"/>
              <w:rPr>
                <w:rFonts w:ascii="Arial" w:hAnsi="Arial" w:cs="Arial"/>
              </w:rPr>
            </w:pPr>
            <w:r w:rsidRPr="00EB5084">
              <w:rPr>
                <w:rFonts w:ascii="Arial" w:hAnsi="Arial" w:cs="Arial"/>
              </w:rPr>
              <w:t>Financiamiento que se entrega para el pago de salarios a la fuerza de trabajo contratada por las diferentes modalidades de la inversión extranjera, al considerar un peso cubano (CUP) por cada peso convertible (CUC) que ingrese para este destino a la cuenta de las entidades empleadoras, más el importe resultante de aplicarle a dicho monto el 12,5 % como Contribución a la Seguridad Social. La suma de ambos importes significa el máximo de recursos a recibir del Presupuesto del Estado.</w:t>
            </w:r>
          </w:p>
        </w:tc>
      </w:tr>
      <w:tr w:rsidR="00585473" w:rsidRPr="00EB5084" w:rsidTr="00EC3364">
        <w:tblPrEx>
          <w:jc w:val="left"/>
        </w:tblPrEx>
        <w:trPr>
          <w:trHeight w:val="570"/>
          <w:tblHeader/>
        </w:trPr>
        <w:tc>
          <w:tcPr>
            <w:tcW w:w="4111" w:type="dxa"/>
            <w:gridSpan w:val="2"/>
            <w:shd w:val="clear" w:color="auto" w:fill="auto"/>
            <w:hideMark/>
          </w:tcPr>
          <w:p w:rsidR="00585473" w:rsidRPr="00EB5084" w:rsidRDefault="00585473" w:rsidP="00EC3364">
            <w:pPr>
              <w:spacing w:before="40" w:after="40" w:line="240" w:lineRule="auto"/>
              <w:rPr>
                <w:rFonts w:ascii="Arial" w:hAnsi="Arial" w:cs="Arial"/>
              </w:rPr>
            </w:pPr>
            <w:r w:rsidRPr="00EB5084">
              <w:rPr>
                <w:rFonts w:ascii="Arial" w:hAnsi="Arial" w:cs="Arial"/>
              </w:rPr>
              <w:t>Inventarios Estatales Semen Congelado</w:t>
            </w:r>
          </w:p>
        </w:tc>
        <w:tc>
          <w:tcPr>
            <w:tcW w:w="7052" w:type="dxa"/>
            <w:gridSpan w:val="2"/>
            <w:shd w:val="clear" w:color="auto" w:fill="auto"/>
            <w:hideMark/>
          </w:tcPr>
          <w:p w:rsidR="00585473" w:rsidRPr="00EB5084" w:rsidRDefault="00585473" w:rsidP="00EC3364">
            <w:pPr>
              <w:spacing w:before="40" w:after="40" w:line="240" w:lineRule="auto"/>
              <w:rPr>
                <w:rFonts w:ascii="Arial" w:hAnsi="Arial" w:cs="Arial"/>
              </w:rPr>
            </w:pPr>
            <w:r w:rsidRPr="00EB5084">
              <w:rPr>
                <w:rFonts w:ascii="Arial" w:hAnsi="Arial" w:cs="Arial"/>
              </w:rPr>
              <w:t>Financiamiento que se aprueba para la compra por el Presupuesto del Estado de los inventarios en exceso de renglones específicos que tienen las empresas y que son de interés del Estado.</w:t>
            </w:r>
          </w:p>
        </w:tc>
      </w:tr>
      <w:tr w:rsidR="00585473" w:rsidRPr="00EB5084" w:rsidTr="00EC3364">
        <w:tblPrEx>
          <w:jc w:val="left"/>
        </w:tblPrEx>
        <w:trPr>
          <w:trHeight w:val="285"/>
          <w:tblHeader/>
        </w:trPr>
        <w:tc>
          <w:tcPr>
            <w:tcW w:w="4111" w:type="dxa"/>
            <w:gridSpan w:val="2"/>
            <w:shd w:val="clear" w:color="auto" w:fill="auto"/>
            <w:hideMark/>
          </w:tcPr>
          <w:p w:rsidR="00585473" w:rsidRPr="00EB5084" w:rsidRDefault="00585473" w:rsidP="00EC3364">
            <w:pPr>
              <w:spacing w:before="40" w:after="40" w:line="240" w:lineRule="auto"/>
              <w:rPr>
                <w:rFonts w:ascii="Arial" w:hAnsi="Arial" w:cs="Arial"/>
              </w:rPr>
            </w:pPr>
            <w:r w:rsidRPr="00EB5084">
              <w:rPr>
                <w:rFonts w:ascii="Arial" w:hAnsi="Arial" w:cs="Arial"/>
              </w:rPr>
              <w:t>Otros (financiamientos pendientes)</w:t>
            </w:r>
          </w:p>
        </w:tc>
        <w:tc>
          <w:tcPr>
            <w:tcW w:w="7052" w:type="dxa"/>
            <w:gridSpan w:val="2"/>
            <w:shd w:val="clear" w:color="auto" w:fill="auto"/>
            <w:hideMark/>
          </w:tcPr>
          <w:p w:rsidR="00585473" w:rsidRPr="00EB5084" w:rsidRDefault="00585473" w:rsidP="00EC3364">
            <w:pPr>
              <w:spacing w:before="40" w:after="40" w:line="240" w:lineRule="auto"/>
              <w:rPr>
                <w:rFonts w:ascii="Arial" w:hAnsi="Arial" w:cs="Arial"/>
              </w:rPr>
            </w:pPr>
            <w:r w:rsidRPr="00EB5084">
              <w:rPr>
                <w:rFonts w:ascii="Arial" w:hAnsi="Arial" w:cs="Arial"/>
              </w:rPr>
              <w:t> </w:t>
            </w:r>
          </w:p>
        </w:tc>
      </w:tr>
      <w:tr w:rsidR="00585473" w:rsidRPr="00EB5084" w:rsidTr="00EC3364">
        <w:tblPrEx>
          <w:jc w:val="left"/>
        </w:tblPrEx>
        <w:trPr>
          <w:trHeight w:val="450"/>
          <w:tblHeader/>
        </w:trPr>
        <w:tc>
          <w:tcPr>
            <w:tcW w:w="4111" w:type="dxa"/>
            <w:gridSpan w:val="2"/>
            <w:shd w:val="clear" w:color="auto" w:fill="auto"/>
            <w:hideMark/>
          </w:tcPr>
          <w:p w:rsidR="00585473" w:rsidRPr="00EB5084" w:rsidRDefault="00585473" w:rsidP="00EC3364">
            <w:pPr>
              <w:spacing w:before="40" w:after="40" w:line="240" w:lineRule="auto"/>
              <w:rPr>
                <w:rFonts w:ascii="Arial" w:hAnsi="Arial" w:cs="Arial"/>
              </w:rPr>
            </w:pPr>
            <w:r w:rsidRPr="00EB5084">
              <w:rPr>
                <w:rFonts w:ascii="Arial" w:hAnsi="Arial" w:cs="Arial"/>
              </w:rPr>
              <w:t xml:space="preserve">Reservas </w:t>
            </w:r>
            <w:proofErr w:type="spellStart"/>
            <w:r w:rsidRPr="00EB5084">
              <w:rPr>
                <w:rFonts w:ascii="Arial" w:hAnsi="Arial" w:cs="Arial"/>
              </w:rPr>
              <w:t>Movilizativas</w:t>
            </w:r>
            <w:proofErr w:type="spellEnd"/>
          </w:p>
        </w:tc>
        <w:tc>
          <w:tcPr>
            <w:tcW w:w="7052" w:type="dxa"/>
            <w:gridSpan w:val="2"/>
            <w:shd w:val="clear" w:color="auto" w:fill="auto"/>
            <w:hideMark/>
          </w:tcPr>
          <w:p w:rsidR="00585473" w:rsidRPr="00EB5084" w:rsidRDefault="00585473" w:rsidP="00EC3364">
            <w:pPr>
              <w:spacing w:before="40" w:after="40" w:line="240" w:lineRule="auto"/>
              <w:rPr>
                <w:rFonts w:ascii="Arial" w:hAnsi="Arial" w:cs="Arial"/>
              </w:rPr>
            </w:pPr>
            <w:r w:rsidRPr="00EB5084">
              <w:rPr>
                <w:rFonts w:ascii="Arial" w:hAnsi="Arial" w:cs="Arial"/>
              </w:rPr>
              <w:t xml:space="preserve">Financiar la asignación de recursos presupuestarios a las entidades económicas para la creación, acumulación y completamiento de las Reservas </w:t>
            </w:r>
            <w:proofErr w:type="spellStart"/>
            <w:r w:rsidRPr="00EB5084">
              <w:rPr>
                <w:rFonts w:ascii="Arial" w:hAnsi="Arial" w:cs="Arial"/>
              </w:rPr>
              <w:t>Movilizativas</w:t>
            </w:r>
            <w:proofErr w:type="spellEnd"/>
            <w:r w:rsidRPr="00EB5084">
              <w:rPr>
                <w:rFonts w:ascii="Arial" w:hAnsi="Arial" w:cs="Arial"/>
              </w:rPr>
              <w:t>.</w:t>
            </w:r>
          </w:p>
        </w:tc>
      </w:tr>
      <w:tr w:rsidR="00585473" w:rsidRPr="00EB5084" w:rsidTr="00EC3364">
        <w:tblPrEx>
          <w:jc w:val="left"/>
        </w:tblPrEx>
        <w:trPr>
          <w:trHeight w:val="675"/>
          <w:tblHeader/>
        </w:trPr>
        <w:tc>
          <w:tcPr>
            <w:tcW w:w="4111" w:type="dxa"/>
            <w:gridSpan w:val="2"/>
            <w:shd w:val="clear" w:color="auto" w:fill="auto"/>
            <w:hideMark/>
          </w:tcPr>
          <w:p w:rsidR="00585473" w:rsidRPr="00EB5084" w:rsidRDefault="00585473" w:rsidP="00EC3364">
            <w:pPr>
              <w:spacing w:before="40" w:after="40" w:line="240" w:lineRule="auto"/>
              <w:rPr>
                <w:rFonts w:ascii="Arial" w:hAnsi="Arial" w:cs="Arial"/>
              </w:rPr>
            </w:pPr>
            <w:r w:rsidRPr="00EB5084">
              <w:rPr>
                <w:rFonts w:ascii="Arial" w:hAnsi="Arial" w:cs="Arial"/>
              </w:rPr>
              <w:t>Centrales desactivados</w:t>
            </w:r>
          </w:p>
        </w:tc>
        <w:tc>
          <w:tcPr>
            <w:tcW w:w="7052" w:type="dxa"/>
            <w:gridSpan w:val="2"/>
            <w:shd w:val="clear" w:color="auto" w:fill="auto"/>
            <w:hideMark/>
          </w:tcPr>
          <w:p w:rsidR="00585473" w:rsidRPr="00EB5084" w:rsidRDefault="00585473" w:rsidP="00EC3364">
            <w:pPr>
              <w:spacing w:before="40" w:after="40" w:line="240" w:lineRule="auto"/>
              <w:rPr>
                <w:rFonts w:ascii="Arial" w:hAnsi="Arial" w:cs="Arial"/>
              </w:rPr>
            </w:pPr>
            <w:r w:rsidRPr="00EB5084">
              <w:rPr>
                <w:rFonts w:ascii="Arial" w:hAnsi="Arial" w:cs="Arial"/>
              </w:rPr>
              <w:t>Financiar los gastos en que incurra la Comisión Liquidadora durante el proceso de desactivación de los centrales, plantas talleres y AZUTECNIA, así como el defecto de medios creado en el momento de la liquidación, de acuerdo con lo reportado en los estados financieros.</w:t>
            </w:r>
          </w:p>
        </w:tc>
      </w:tr>
      <w:tr w:rsidR="00585473" w:rsidRPr="00EB5084" w:rsidTr="00EC3364">
        <w:tblPrEx>
          <w:jc w:val="left"/>
        </w:tblPrEx>
        <w:trPr>
          <w:trHeight w:val="450"/>
          <w:tblHeader/>
        </w:trPr>
        <w:tc>
          <w:tcPr>
            <w:tcW w:w="4111" w:type="dxa"/>
            <w:gridSpan w:val="2"/>
            <w:shd w:val="clear" w:color="auto" w:fill="auto"/>
            <w:hideMark/>
          </w:tcPr>
          <w:p w:rsidR="00585473" w:rsidRPr="00EB5084" w:rsidRDefault="00585473" w:rsidP="00EC3364">
            <w:pPr>
              <w:spacing w:before="40" w:after="40" w:line="240" w:lineRule="auto"/>
              <w:rPr>
                <w:rFonts w:ascii="Arial" w:hAnsi="Arial" w:cs="Arial"/>
              </w:rPr>
            </w:pPr>
            <w:r w:rsidRPr="00EB5084">
              <w:rPr>
                <w:rFonts w:ascii="Arial" w:hAnsi="Arial" w:cs="Arial"/>
              </w:rPr>
              <w:t>Centrales paralizados</w:t>
            </w:r>
          </w:p>
        </w:tc>
        <w:tc>
          <w:tcPr>
            <w:tcW w:w="7052" w:type="dxa"/>
            <w:gridSpan w:val="2"/>
            <w:shd w:val="clear" w:color="auto" w:fill="auto"/>
            <w:hideMark/>
          </w:tcPr>
          <w:p w:rsidR="00585473" w:rsidRPr="00EB5084" w:rsidRDefault="00585473" w:rsidP="00EC3364">
            <w:pPr>
              <w:spacing w:before="40" w:after="40" w:line="240" w:lineRule="auto"/>
              <w:rPr>
                <w:rFonts w:ascii="Arial" w:hAnsi="Arial" w:cs="Arial"/>
              </w:rPr>
            </w:pPr>
            <w:r w:rsidRPr="00EB5084">
              <w:rPr>
                <w:rFonts w:ascii="Arial" w:hAnsi="Arial" w:cs="Arial"/>
              </w:rPr>
              <w:t>Financiar los gastos en que se incurran en las Unidades Empresariales de Base declaradas como paralizadas, de acuerdo con los gastos declarados cada año.</w:t>
            </w:r>
          </w:p>
        </w:tc>
      </w:tr>
      <w:tr w:rsidR="00585473" w:rsidRPr="00EB5084" w:rsidTr="00EC3364">
        <w:tblPrEx>
          <w:jc w:val="left"/>
        </w:tblPrEx>
        <w:trPr>
          <w:trHeight w:val="675"/>
          <w:tblHeader/>
        </w:trPr>
        <w:tc>
          <w:tcPr>
            <w:tcW w:w="4111" w:type="dxa"/>
            <w:gridSpan w:val="2"/>
            <w:shd w:val="clear" w:color="auto" w:fill="auto"/>
            <w:hideMark/>
          </w:tcPr>
          <w:p w:rsidR="00585473" w:rsidRPr="00EB5084" w:rsidRDefault="00585473" w:rsidP="00EC3364">
            <w:pPr>
              <w:spacing w:before="40" w:after="40" w:line="240" w:lineRule="auto"/>
              <w:rPr>
                <w:rFonts w:ascii="Arial" w:hAnsi="Arial" w:cs="Arial"/>
              </w:rPr>
            </w:pPr>
            <w:r w:rsidRPr="00EB5084">
              <w:rPr>
                <w:rFonts w:ascii="Arial" w:hAnsi="Arial" w:cs="Arial"/>
              </w:rPr>
              <w:t>Reparación Caminos Cañeros</w:t>
            </w:r>
          </w:p>
        </w:tc>
        <w:tc>
          <w:tcPr>
            <w:tcW w:w="7052" w:type="dxa"/>
            <w:gridSpan w:val="2"/>
            <w:shd w:val="clear" w:color="auto" w:fill="auto"/>
            <w:hideMark/>
          </w:tcPr>
          <w:p w:rsidR="00585473" w:rsidRPr="00EB5084" w:rsidRDefault="00585473" w:rsidP="00EC3364">
            <w:pPr>
              <w:spacing w:before="40" w:after="40" w:line="240" w:lineRule="auto"/>
              <w:rPr>
                <w:rFonts w:ascii="Arial" w:hAnsi="Arial" w:cs="Arial"/>
              </w:rPr>
            </w:pPr>
            <w:r w:rsidRPr="00EB5084">
              <w:rPr>
                <w:rFonts w:ascii="Arial" w:hAnsi="Arial" w:cs="Arial"/>
              </w:rPr>
              <w:t>Financiar los gastos incurridos por las empresas adscriptas al Grupo Empresarial Azucarero que realicen la reparación y el mantenimiento de los caminos primarios y secundarios, que se correspondan con el patronato vial aprobado.</w:t>
            </w:r>
          </w:p>
        </w:tc>
      </w:tr>
      <w:tr w:rsidR="00585473" w:rsidRPr="00EB5084" w:rsidTr="00EC3364">
        <w:tblPrEx>
          <w:jc w:val="left"/>
        </w:tblPrEx>
        <w:trPr>
          <w:trHeight w:val="1125"/>
          <w:tblHeader/>
        </w:trPr>
        <w:tc>
          <w:tcPr>
            <w:tcW w:w="4111" w:type="dxa"/>
            <w:gridSpan w:val="2"/>
            <w:shd w:val="clear" w:color="auto" w:fill="auto"/>
            <w:hideMark/>
          </w:tcPr>
          <w:p w:rsidR="00585473" w:rsidRPr="00EB5084" w:rsidRDefault="00585473" w:rsidP="00EC3364">
            <w:pPr>
              <w:spacing w:before="40" w:after="40" w:line="240" w:lineRule="auto"/>
              <w:rPr>
                <w:rFonts w:ascii="Arial" w:hAnsi="Arial" w:cs="Arial"/>
              </w:rPr>
            </w:pPr>
            <w:r w:rsidRPr="00EB5084">
              <w:rPr>
                <w:rFonts w:ascii="Arial" w:hAnsi="Arial" w:cs="Arial"/>
              </w:rPr>
              <w:t>Pago de salarios de la fuerza de trabajo contratada de la inversión extranjera</w:t>
            </w:r>
          </w:p>
        </w:tc>
        <w:tc>
          <w:tcPr>
            <w:tcW w:w="7052" w:type="dxa"/>
            <w:gridSpan w:val="2"/>
            <w:shd w:val="clear" w:color="auto" w:fill="auto"/>
            <w:hideMark/>
          </w:tcPr>
          <w:p w:rsidR="00585473" w:rsidRPr="00EB5084" w:rsidRDefault="00585473" w:rsidP="00EC3364">
            <w:pPr>
              <w:spacing w:before="40" w:after="40" w:line="240" w:lineRule="auto"/>
              <w:rPr>
                <w:rFonts w:ascii="Arial" w:hAnsi="Arial" w:cs="Arial"/>
              </w:rPr>
            </w:pPr>
            <w:r w:rsidRPr="00EB5084">
              <w:rPr>
                <w:rFonts w:ascii="Arial" w:hAnsi="Arial" w:cs="Arial"/>
              </w:rPr>
              <w:t>Financiamiento que se entrega para el pago de salarios a la fuerza de trabajo contratada por las diferentes modalidades de la inversión extranjera, al considerar un peso cubano (CUP) por cada peso convertible (CUC) que ingrese para este destino a la cuenta de las entidades empleadoras, más el importe resultante de aplicarle a dicho monto el 12,5 % como Contribución a la Seguridad Social. La suma de ambos importes significa el máximo de recursos a recibir del Presupuesto del Estado.</w:t>
            </w:r>
          </w:p>
        </w:tc>
      </w:tr>
      <w:tr w:rsidR="00585473" w:rsidRPr="00EB5084" w:rsidTr="00EC3364">
        <w:tblPrEx>
          <w:jc w:val="left"/>
        </w:tblPrEx>
        <w:trPr>
          <w:trHeight w:val="450"/>
          <w:tblHeader/>
        </w:trPr>
        <w:tc>
          <w:tcPr>
            <w:tcW w:w="4111" w:type="dxa"/>
            <w:gridSpan w:val="2"/>
            <w:shd w:val="clear" w:color="auto" w:fill="auto"/>
            <w:hideMark/>
          </w:tcPr>
          <w:p w:rsidR="00585473" w:rsidRPr="00EB5084" w:rsidRDefault="00585473" w:rsidP="00EC3364">
            <w:pPr>
              <w:spacing w:before="40" w:after="40" w:line="240" w:lineRule="auto"/>
              <w:rPr>
                <w:rFonts w:ascii="Arial" w:hAnsi="Arial" w:cs="Arial"/>
              </w:rPr>
            </w:pPr>
            <w:r w:rsidRPr="00EB5084">
              <w:rPr>
                <w:rFonts w:ascii="Arial" w:hAnsi="Arial" w:cs="Arial"/>
              </w:rPr>
              <w:t xml:space="preserve">Reservas </w:t>
            </w:r>
            <w:proofErr w:type="spellStart"/>
            <w:r w:rsidRPr="00EB5084">
              <w:rPr>
                <w:rFonts w:ascii="Arial" w:hAnsi="Arial" w:cs="Arial"/>
              </w:rPr>
              <w:t>Movilizativas</w:t>
            </w:r>
            <w:proofErr w:type="spellEnd"/>
          </w:p>
        </w:tc>
        <w:tc>
          <w:tcPr>
            <w:tcW w:w="7052" w:type="dxa"/>
            <w:gridSpan w:val="2"/>
            <w:shd w:val="clear" w:color="auto" w:fill="auto"/>
            <w:hideMark/>
          </w:tcPr>
          <w:p w:rsidR="00585473" w:rsidRPr="00EB5084" w:rsidRDefault="00585473" w:rsidP="00EC3364">
            <w:pPr>
              <w:spacing w:before="40" w:after="40" w:line="240" w:lineRule="auto"/>
              <w:rPr>
                <w:rFonts w:ascii="Arial" w:hAnsi="Arial" w:cs="Arial"/>
              </w:rPr>
            </w:pPr>
            <w:r w:rsidRPr="00EB5084">
              <w:rPr>
                <w:rFonts w:ascii="Arial" w:hAnsi="Arial" w:cs="Arial"/>
              </w:rPr>
              <w:t xml:space="preserve">Financiar la asignación de recursos presupuestarios a las entidades económicas para la creación, acumulación y completamiento de las Reservas </w:t>
            </w:r>
            <w:proofErr w:type="spellStart"/>
            <w:r w:rsidRPr="00EB5084">
              <w:rPr>
                <w:rFonts w:ascii="Arial" w:hAnsi="Arial" w:cs="Arial"/>
              </w:rPr>
              <w:t>Movilizativas</w:t>
            </w:r>
            <w:proofErr w:type="spellEnd"/>
            <w:r w:rsidRPr="00EB5084">
              <w:rPr>
                <w:rFonts w:ascii="Arial" w:hAnsi="Arial" w:cs="Arial"/>
              </w:rPr>
              <w:t>.</w:t>
            </w:r>
          </w:p>
        </w:tc>
      </w:tr>
      <w:tr w:rsidR="00585473" w:rsidRPr="00EB5084" w:rsidTr="00EC3364">
        <w:tblPrEx>
          <w:jc w:val="left"/>
        </w:tblPrEx>
        <w:trPr>
          <w:trHeight w:val="675"/>
          <w:tblHeader/>
        </w:trPr>
        <w:tc>
          <w:tcPr>
            <w:tcW w:w="4111" w:type="dxa"/>
            <w:gridSpan w:val="2"/>
            <w:shd w:val="clear" w:color="auto" w:fill="auto"/>
            <w:hideMark/>
          </w:tcPr>
          <w:p w:rsidR="00585473" w:rsidRPr="00EB5084" w:rsidRDefault="00585473" w:rsidP="00EC3364">
            <w:pPr>
              <w:spacing w:before="40" w:after="40" w:line="240" w:lineRule="auto"/>
              <w:rPr>
                <w:rFonts w:ascii="Arial" w:hAnsi="Arial" w:cs="Arial"/>
              </w:rPr>
            </w:pPr>
            <w:r w:rsidRPr="00EB5084">
              <w:rPr>
                <w:rFonts w:ascii="Arial" w:hAnsi="Arial" w:cs="Arial"/>
              </w:rPr>
              <w:t>Transportación en Patana de Azúcar</w:t>
            </w:r>
          </w:p>
        </w:tc>
        <w:tc>
          <w:tcPr>
            <w:tcW w:w="7052" w:type="dxa"/>
            <w:gridSpan w:val="2"/>
            <w:shd w:val="clear" w:color="auto" w:fill="auto"/>
            <w:hideMark/>
          </w:tcPr>
          <w:p w:rsidR="00585473" w:rsidRPr="00EB5084" w:rsidRDefault="00585473" w:rsidP="00EC3364">
            <w:pPr>
              <w:spacing w:before="40" w:after="40" w:line="240" w:lineRule="auto"/>
              <w:rPr>
                <w:rFonts w:ascii="Arial" w:hAnsi="Arial" w:cs="Arial"/>
              </w:rPr>
            </w:pPr>
            <w:r w:rsidRPr="00EB5084">
              <w:rPr>
                <w:rFonts w:ascii="Arial" w:hAnsi="Arial" w:cs="Arial"/>
              </w:rPr>
              <w:t>Financiar los gastos en que incurra la Comisión Liquidadora durante el proceso de desactivación de los centrales, plantas talleres y AZUTECNIA, así como el defecto de medios creado en el momento de la liquidación, de acuerdo con lo reportado en los estados financieros.</w:t>
            </w:r>
          </w:p>
        </w:tc>
      </w:tr>
      <w:tr w:rsidR="00585473" w:rsidRPr="00EB5084" w:rsidTr="00EC3364">
        <w:tblPrEx>
          <w:jc w:val="left"/>
        </w:tblPrEx>
        <w:trPr>
          <w:trHeight w:val="1125"/>
          <w:tblHeader/>
        </w:trPr>
        <w:tc>
          <w:tcPr>
            <w:tcW w:w="4111" w:type="dxa"/>
            <w:gridSpan w:val="2"/>
            <w:shd w:val="clear" w:color="auto" w:fill="auto"/>
            <w:hideMark/>
          </w:tcPr>
          <w:p w:rsidR="00585473" w:rsidRPr="00EB5084" w:rsidRDefault="00585473" w:rsidP="00EC3364">
            <w:pPr>
              <w:spacing w:before="40" w:after="40" w:line="240" w:lineRule="auto"/>
              <w:rPr>
                <w:rFonts w:ascii="Arial" w:hAnsi="Arial" w:cs="Arial"/>
              </w:rPr>
            </w:pPr>
            <w:r w:rsidRPr="00EB5084">
              <w:rPr>
                <w:rFonts w:ascii="Arial" w:hAnsi="Arial" w:cs="Arial"/>
              </w:rPr>
              <w:t>Pago de salarios de la fuerza de trabajo contratada de la inversión extranjera</w:t>
            </w:r>
          </w:p>
        </w:tc>
        <w:tc>
          <w:tcPr>
            <w:tcW w:w="7052" w:type="dxa"/>
            <w:gridSpan w:val="2"/>
            <w:shd w:val="clear" w:color="auto" w:fill="auto"/>
            <w:hideMark/>
          </w:tcPr>
          <w:p w:rsidR="00585473" w:rsidRPr="00EB5084" w:rsidRDefault="00585473" w:rsidP="00EC3364">
            <w:pPr>
              <w:spacing w:before="40" w:after="40" w:line="240" w:lineRule="auto"/>
              <w:rPr>
                <w:rFonts w:ascii="Arial" w:hAnsi="Arial" w:cs="Arial"/>
              </w:rPr>
            </w:pPr>
            <w:r w:rsidRPr="00EB5084">
              <w:rPr>
                <w:rFonts w:ascii="Arial" w:hAnsi="Arial" w:cs="Arial"/>
              </w:rPr>
              <w:t>Financiamiento que se entrega para el pago de salarios a la fuerza de trabajo contratada por las diferentes modalidades de la inversión extranjera, al considerar un peso cubano (CUP) por cada peso convertible (CUC) que ingrese para este destino a la cuenta de las entidades empleadoras, más el importe resultante de aplicarle a dicho monto el 12,5 % como Contribución a la Seguridad Social. La suma de ambos importes significa el máximo de recursos a recibir del Presupuesto del Estado.</w:t>
            </w:r>
          </w:p>
        </w:tc>
      </w:tr>
      <w:tr w:rsidR="00585473" w:rsidRPr="00EB5084" w:rsidTr="00EC3364">
        <w:tblPrEx>
          <w:jc w:val="left"/>
        </w:tblPrEx>
        <w:trPr>
          <w:trHeight w:val="1125"/>
          <w:tblHeader/>
        </w:trPr>
        <w:tc>
          <w:tcPr>
            <w:tcW w:w="4111" w:type="dxa"/>
            <w:gridSpan w:val="2"/>
            <w:shd w:val="clear" w:color="auto" w:fill="auto"/>
            <w:hideMark/>
          </w:tcPr>
          <w:p w:rsidR="00585473" w:rsidRPr="00EB5084" w:rsidRDefault="00585473" w:rsidP="00EC3364">
            <w:pPr>
              <w:spacing w:before="40" w:after="40" w:line="240" w:lineRule="auto"/>
              <w:rPr>
                <w:rFonts w:ascii="Arial" w:hAnsi="Arial" w:cs="Arial"/>
              </w:rPr>
            </w:pPr>
            <w:r w:rsidRPr="00EB5084">
              <w:rPr>
                <w:rFonts w:ascii="Arial" w:hAnsi="Arial" w:cs="Arial"/>
              </w:rPr>
              <w:lastRenderedPageBreak/>
              <w:t>Pago de salario fuerza contratada inversión extranjera</w:t>
            </w:r>
          </w:p>
        </w:tc>
        <w:tc>
          <w:tcPr>
            <w:tcW w:w="7052" w:type="dxa"/>
            <w:gridSpan w:val="2"/>
            <w:shd w:val="clear" w:color="auto" w:fill="auto"/>
            <w:hideMark/>
          </w:tcPr>
          <w:p w:rsidR="00585473" w:rsidRPr="00EB5084" w:rsidRDefault="00585473" w:rsidP="00EC3364">
            <w:pPr>
              <w:spacing w:before="40" w:after="40" w:line="240" w:lineRule="auto"/>
              <w:rPr>
                <w:rFonts w:ascii="Arial" w:hAnsi="Arial" w:cs="Arial"/>
              </w:rPr>
            </w:pPr>
            <w:r w:rsidRPr="00EB5084">
              <w:rPr>
                <w:rFonts w:ascii="Arial" w:hAnsi="Arial" w:cs="Arial"/>
              </w:rPr>
              <w:t>Financiamiento que se entrega para el pago de salarios a la fuerza de trabajo contratada por las diferentes modalidades de la inversión extranjera, al considerar un peso cubano (CUP) por cada peso convertible (CUC) que ingrese para este destino a la cuenta de las entidades empleadoras, más el importe resultante de aplicarle a dicho monto el 12,5 % como Contribución a la Seguridad Social. La suma de ambos importes significa el máximo de recursos a recibir del Presupuesto del Estado.</w:t>
            </w:r>
          </w:p>
        </w:tc>
      </w:tr>
      <w:tr w:rsidR="00585473" w:rsidRPr="00EB5084" w:rsidTr="00EC3364">
        <w:tblPrEx>
          <w:jc w:val="left"/>
        </w:tblPrEx>
        <w:trPr>
          <w:trHeight w:val="570"/>
          <w:tblHeader/>
        </w:trPr>
        <w:tc>
          <w:tcPr>
            <w:tcW w:w="4111" w:type="dxa"/>
            <w:gridSpan w:val="2"/>
            <w:shd w:val="clear" w:color="auto" w:fill="auto"/>
            <w:hideMark/>
          </w:tcPr>
          <w:p w:rsidR="00585473" w:rsidRPr="00EB5084" w:rsidRDefault="00585473" w:rsidP="00EC3364">
            <w:pPr>
              <w:spacing w:before="40" w:after="40" w:line="240" w:lineRule="auto"/>
              <w:rPr>
                <w:rFonts w:ascii="Arial" w:hAnsi="Arial" w:cs="Arial"/>
              </w:rPr>
            </w:pPr>
            <w:r w:rsidRPr="00EB5084">
              <w:rPr>
                <w:rFonts w:ascii="Arial" w:hAnsi="Arial" w:cs="Arial"/>
              </w:rPr>
              <w:t xml:space="preserve">Gastos Almacenaje, </w:t>
            </w:r>
            <w:proofErr w:type="spellStart"/>
            <w:r w:rsidRPr="00EB5084">
              <w:rPr>
                <w:rFonts w:ascii="Arial" w:hAnsi="Arial" w:cs="Arial"/>
              </w:rPr>
              <w:t>Conserv</w:t>
            </w:r>
            <w:proofErr w:type="spellEnd"/>
            <w:r w:rsidRPr="00EB5084">
              <w:rPr>
                <w:rFonts w:ascii="Arial" w:hAnsi="Arial" w:cs="Arial"/>
              </w:rPr>
              <w:t xml:space="preserve"> y </w:t>
            </w:r>
            <w:proofErr w:type="spellStart"/>
            <w:r w:rsidRPr="00EB5084">
              <w:rPr>
                <w:rFonts w:ascii="Arial" w:hAnsi="Arial" w:cs="Arial"/>
              </w:rPr>
              <w:t>Transp</w:t>
            </w:r>
            <w:proofErr w:type="spellEnd"/>
            <w:r w:rsidRPr="00EB5084">
              <w:rPr>
                <w:rFonts w:ascii="Arial" w:hAnsi="Arial" w:cs="Arial"/>
              </w:rPr>
              <w:t xml:space="preserve"> del Programa Energético</w:t>
            </w:r>
          </w:p>
        </w:tc>
        <w:tc>
          <w:tcPr>
            <w:tcW w:w="7052" w:type="dxa"/>
            <w:gridSpan w:val="2"/>
            <w:shd w:val="clear" w:color="auto" w:fill="auto"/>
            <w:hideMark/>
          </w:tcPr>
          <w:p w:rsidR="00585473" w:rsidRPr="00EB5084" w:rsidRDefault="00585473" w:rsidP="00EC3364">
            <w:pPr>
              <w:spacing w:before="40" w:after="40" w:line="240" w:lineRule="auto"/>
              <w:rPr>
                <w:rFonts w:ascii="Arial" w:hAnsi="Arial" w:cs="Arial"/>
              </w:rPr>
            </w:pPr>
            <w:r w:rsidRPr="00EB5084">
              <w:rPr>
                <w:rFonts w:ascii="Arial" w:hAnsi="Arial" w:cs="Arial"/>
              </w:rPr>
              <w:t>Financiamiento por los gastos de almacenaje, conservación y transportación de equipos y otros efectos del Programa Energético</w:t>
            </w:r>
          </w:p>
        </w:tc>
      </w:tr>
      <w:tr w:rsidR="00585473" w:rsidRPr="00EB5084" w:rsidTr="00EC3364">
        <w:tblPrEx>
          <w:jc w:val="left"/>
        </w:tblPrEx>
        <w:trPr>
          <w:trHeight w:val="570"/>
          <w:tblHeader/>
        </w:trPr>
        <w:tc>
          <w:tcPr>
            <w:tcW w:w="4111" w:type="dxa"/>
            <w:gridSpan w:val="2"/>
            <w:shd w:val="clear" w:color="auto" w:fill="auto"/>
            <w:hideMark/>
          </w:tcPr>
          <w:p w:rsidR="00585473" w:rsidRPr="00EB5084" w:rsidRDefault="00585473" w:rsidP="00EC3364">
            <w:pPr>
              <w:spacing w:before="40" w:after="40" w:line="240" w:lineRule="auto"/>
              <w:rPr>
                <w:rFonts w:ascii="Arial" w:hAnsi="Arial" w:cs="Arial"/>
              </w:rPr>
            </w:pPr>
            <w:r w:rsidRPr="00EB5084">
              <w:rPr>
                <w:rFonts w:ascii="Arial" w:hAnsi="Arial" w:cs="Arial"/>
              </w:rPr>
              <w:t>Comercialización de Vehículos dados de baja de la renta</w:t>
            </w:r>
          </w:p>
        </w:tc>
        <w:tc>
          <w:tcPr>
            <w:tcW w:w="7052" w:type="dxa"/>
            <w:gridSpan w:val="2"/>
            <w:shd w:val="clear" w:color="auto" w:fill="auto"/>
            <w:hideMark/>
          </w:tcPr>
          <w:p w:rsidR="00585473" w:rsidRPr="00EB5084" w:rsidRDefault="00585473" w:rsidP="00EC3364">
            <w:pPr>
              <w:spacing w:before="40" w:after="40" w:line="240" w:lineRule="auto"/>
              <w:rPr>
                <w:rFonts w:ascii="Arial" w:hAnsi="Arial" w:cs="Arial"/>
              </w:rPr>
            </w:pPr>
            <w:r w:rsidRPr="00EB5084">
              <w:rPr>
                <w:rFonts w:ascii="Arial" w:hAnsi="Arial" w:cs="Arial"/>
              </w:rPr>
              <w:t>Tratamiento financiero y de precios aplicado en la comercialización en divisas a personas naturales y jurídicas de los vehículos que terminan su vida útil en las entidades que prestan servicios de renta.</w:t>
            </w:r>
          </w:p>
        </w:tc>
      </w:tr>
      <w:tr w:rsidR="00585473" w:rsidRPr="00EB5084" w:rsidTr="00EC3364">
        <w:tblPrEx>
          <w:jc w:val="left"/>
        </w:tblPrEx>
        <w:trPr>
          <w:trHeight w:val="570"/>
          <w:tblHeader/>
        </w:trPr>
        <w:tc>
          <w:tcPr>
            <w:tcW w:w="4111" w:type="dxa"/>
            <w:gridSpan w:val="2"/>
            <w:shd w:val="clear" w:color="auto" w:fill="auto"/>
            <w:hideMark/>
          </w:tcPr>
          <w:p w:rsidR="00585473" w:rsidRPr="00EB5084" w:rsidRDefault="00585473" w:rsidP="00EC3364">
            <w:pPr>
              <w:spacing w:before="40" w:after="40" w:line="240" w:lineRule="auto"/>
              <w:rPr>
                <w:rFonts w:ascii="Arial" w:hAnsi="Arial" w:cs="Arial"/>
              </w:rPr>
            </w:pPr>
            <w:r w:rsidRPr="00EB5084">
              <w:rPr>
                <w:rFonts w:ascii="Arial" w:hAnsi="Arial" w:cs="Arial"/>
              </w:rPr>
              <w:t>Compra de Equipos Autorizados  Decomiso</w:t>
            </w:r>
          </w:p>
        </w:tc>
        <w:tc>
          <w:tcPr>
            <w:tcW w:w="7052" w:type="dxa"/>
            <w:gridSpan w:val="2"/>
            <w:shd w:val="clear" w:color="auto" w:fill="auto"/>
            <w:hideMark/>
          </w:tcPr>
          <w:p w:rsidR="00585473" w:rsidRPr="00EB5084" w:rsidRDefault="00585473" w:rsidP="00EC3364">
            <w:pPr>
              <w:spacing w:before="40" w:after="40" w:line="240" w:lineRule="auto"/>
              <w:rPr>
                <w:rFonts w:ascii="Arial" w:hAnsi="Arial" w:cs="Arial"/>
              </w:rPr>
            </w:pPr>
            <w:r w:rsidRPr="00EB5084">
              <w:rPr>
                <w:rFonts w:ascii="Arial" w:hAnsi="Arial" w:cs="Arial"/>
              </w:rPr>
              <w:t> </w:t>
            </w:r>
          </w:p>
        </w:tc>
      </w:tr>
      <w:tr w:rsidR="00585473" w:rsidRPr="00EB5084" w:rsidTr="00EC3364">
        <w:tblPrEx>
          <w:jc w:val="left"/>
        </w:tblPrEx>
        <w:trPr>
          <w:trHeight w:val="675"/>
          <w:tblHeader/>
        </w:trPr>
        <w:tc>
          <w:tcPr>
            <w:tcW w:w="4111" w:type="dxa"/>
            <w:gridSpan w:val="2"/>
            <w:shd w:val="clear" w:color="auto" w:fill="auto"/>
            <w:hideMark/>
          </w:tcPr>
          <w:p w:rsidR="00585473" w:rsidRPr="00EB5084" w:rsidRDefault="00585473" w:rsidP="00EC3364">
            <w:pPr>
              <w:spacing w:before="40" w:after="40" w:line="240" w:lineRule="auto"/>
              <w:rPr>
                <w:rFonts w:ascii="Arial" w:hAnsi="Arial" w:cs="Arial"/>
              </w:rPr>
            </w:pPr>
            <w:r w:rsidRPr="00EB5084">
              <w:rPr>
                <w:rFonts w:ascii="Arial" w:hAnsi="Arial" w:cs="Arial"/>
              </w:rPr>
              <w:t>Programa de desarme de vehículos automotores</w:t>
            </w:r>
          </w:p>
        </w:tc>
        <w:tc>
          <w:tcPr>
            <w:tcW w:w="7052" w:type="dxa"/>
            <w:gridSpan w:val="2"/>
            <w:shd w:val="clear" w:color="auto" w:fill="auto"/>
            <w:hideMark/>
          </w:tcPr>
          <w:p w:rsidR="00585473" w:rsidRPr="00EB5084" w:rsidRDefault="00585473" w:rsidP="00EC3364">
            <w:pPr>
              <w:spacing w:before="40" w:after="40" w:line="240" w:lineRule="auto"/>
              <w:rPr>
                <w:rFonts w:ascii="Arial" w:hAnsi="Arial" w:cs="Arial"/>
              </w:rPr>
            </w:pPr>
            <w:r w:rsidRPr="00EB5084">
              <w:rPr>
                <w:rFonts w:ascii="Arial" w:hAnsi="Arial" w:cs="Arial"/>
              </w:rPr>
              <w:t>Procedimiento Financiero por la sustitución de los equipos automotores ineficientes y altos consumidores. Mediante certificación de acuerdo a las indicaciones a cumplimentar por los gastos incurridos en la sustitución de equipos automotores ineficientes y altos consumidores.</w:t>
            </w:r>
          </w:p>
        </w:tc>
      </w:tr>
      <w:tr w:rsidR="00585473" w:rsidRPr="00EB5084" w:rsidTr="00EC3364">
        <w:tblPrEx>
          <w:jc w:val="left"/>
        </w:tblPrEx>
        <w:trPr>
          <w:trHeight w:val="570"/>
          <w:tblHeader/>
        </w:trPr>
        <w:tc>
          <w:tcPr>
            <w:tcW w:w="4111" w:type="dxa"/>
            <w:gridSpan w:val="2"/>
            <w:shd w:val="clear" w:color="auto" w:fill="auto"/>
            <w:hideMark/>
          </w:tcPr>
          <w:p w:rsidR="00585473" w:rsidRPr="00EB5084" w:rsidRDefault="00585473" w:rsidP="00EC3364">
            <w:pPr>
              <w:spacing w:before="40" w:after="40" w:line="240" w:lineRule="auto"/>
              <w:rPr>
                <w:rFonts w:ascii="Arial" w:hAnsi="Arial" w:cs="Arial"/>
              </w:rPr>
            </w:pPr>
            <w:r w:rsidRPr="00EB5084">
              <w:rPr>
                <w:rFonts w:ascii="Arial" w:hAnsi="Arial" w:cs="Arial"/>
              </w:rPr>
              <w:t xml:space="preserve">Reintegro Salario </w:t>
            </w:r>
            <w:proofErr w:type="spellStart"/>
            <w:r w:rsidRPr="00EB5084">
              <w:rPr>
                <w:rFonts w:ascii="Arial" w:hAnsi="Arial" w:cs="Arial"/>
              </w:rPr>
              <w:t>Microbrigada</w:t>
            </w:r>
            <w:proofErr w:type="spellEnd"/>
            <w:r w:rsidRPr="00EB5084">
              <w:rPr>
                <w:rFonts w:ascii="Arial" w:hAnsi="Arial" w:cs="Arial"/>
              </w:rPr>
              <w:t xml:space="preserve"> Social</w:t>
            </w:r>
          </w:p>
        </w:tc>
        <w:tc>
          <w:tcPr>
            <w:tcW w:w="7052" w:type="dxa"/>
            <w:gridSpan w:val="2"/>
            <w:shd w:val="clear" w:color="auto" w:fill="auto"/>
            <w:hideMark/>
          </w:tcPr>
          <w:p w:rsidR="00585473" w:rsidRPr="00EB5084" w:rsidRDefault="00585473" w:rsidP="00EC3364">
            <w:pPr>
              <w:spacing w:before="40" w:after="40" w:line="240" w:lineRule="auto"/>
              <w:rPr>
                <w:rFonts w:ascii="Arial" w:hAnsi="Arial" w:cs="Arial"/>
              </w:rPr>
            </w:pPr>
            <w:r w:rsidRPr="00EB5084">
              <w:rPr>
                <w:rFonts w:ascii="Arial" w:hAnsi="Arial" w:cs="Arial"/>
              </w:rPr>
              <w:t>Reintegro a trabajadores para construir viviendas con esfuerzo propio</w:t>
            </w:r>
          </w:p>
        </w:tc>
      </w:tr>
      <w:tr w:rsidR="00585473" w:rsidRPr="00EB5084" w:rsidTr="00EC3364">
        <w:tblPrEx>
          <w:jc w:val="left"/>
        </w:tblPrEx>
        <w:trPr>
          <w:trHeight w:val="285"/>
          <w:tblHeader/>
        </w:trPr>
        <w:tc>
          <w:tcPr>
            <w:tcW w:w="4111" w:type="dxa"/>
            <w:gridSpan w:val="2"/>
            <w:shd w:val="clear" w:color="auto" w:fill="auto"/>
            <w:hideMark/>
          </w:tcPr>
          <w:p w:rsidR="00585473" w:rsidRPr="00EB5084" w:rsidRDefault="00585473" w:rsidP="00EC3364">
            <w:pPr>
              <w:spacing w:before="40" w:after="40" w:line="240" w:lineRule="auto"/>
              <w:rPr>
                <w:rFonts w:ascii="Arial" w:hAnsi="Arial" w:cs="Arial"/>
              </w:rPr>
            </w:pPr>
            <w:r w:rsidRPr="00EB5084">
              <w:rPr>
                <w:rFonts w:ascii="Arial" w:hAnsi="Arial" w:cs="Arial"/>
              </w:rPr>
              <w:t>Adiestrados en Exceso</w:t>
            </w:r>
          </w:p>
        </w:tc>
        <w:tc>
          <w:tcPr>
            <w:tcW w:w="7052" w:type="dxa"/>
            <w:gridSpan w:val="2"/>
            <w:shd w:val="clear" w:color="auto" w:fill="auto"/>
            <w:hideMark/>
          </w:tcPr>
          <w:p w:rsidR="00585473" w:rsidRPr="00EB5084" w:rsidRDefault="00585473" w:rsidP="00EC3364">
            <w:pPr>
              <w:spacing w:before="40" w:after="40" w:line="240" w:lineRule="auto"/>
              <w:rPr>
                <w:rFonts w:ascii="Arial" w:hAnsi="Arial" w:cs="Arial"/>
              </w:rPr>
            </w:pPr>
            <w:r w:rsidRPr="00EB5084">
              <w:rPr>
                <w:rFonts w:ascii="Arial" w:hAnsi="Arial" w:cs="Arial"/>
              </w:rPr>
              <w:t> </w:t>
            </w:r>
          </w:p>
        </w:tc>
      </w:tr>
      <w:tr w:rsidR="00585473" w:rsidRPr="00EB5084" w:rsidTr="00EC3364">
        <w:tblPrEx>
          <w:jc w:val="left"/>
        </w:tblPrEx>
        <w:trPr>
          <w:trHeight w:val="1125"/>
          <w:tblHeader/>
        </w:trPr>
        <w:tc>
          <w:tcPr>
            <w:tcW w:w="4111" w:type="dxa"/>
            <w:gridSpan w:val="2"/>
            <w:shd w:val="clear" w:color="auto" w:fill="auto"/>
            <w:hideMark/>
          </w:tcPr>
          <w:p w:rsidR="00585473" w:rsidRPr="00EB5084" w:rsidRDefault="00585473" w:rsidP="00EC3364">
            <w:pPr>
              <w:spacing w:before="40" w:after="40" w:line="240" w:lineRule="auto"/>
              <w:rPr>
                <w:rFonts w:ascii="Arial" w:hAnsi="Arial" w:cs="Arial"/>
              </w:rPr>
            </w:pPr>
            <w:r w:rsidRPr="00EB5084">
              <w:rPr>
                <w:rFonts w:ascii="Arial" w:hAnsi="Arial" w:cs="Arial"/>
              </w:rPr>
              <w:t>Pago de salario fuerza contratada inversión extranjera</w:t>
            </w:r>
          </w:p>
        </w:tc>
        <w:tc>
          <w:tcPr>
            <w:tcW w:w="7052" w:type="dxa"/>
            <w:gridSpan w:val="2"/>
            <w:shd w:val="clear" w:color="auto" w:fill="auto"/>
            <w:hideMark/>
          </w:tcPr>
          <w:p w:rsidR="00585473" w:rsidRPr="00EB5084" w:rsidRDefault="00585473" w:rsidP="00EC3364">
            <w:pPr>
              <w:spacing w:before="40" w:after="40" w:line="240" w:lineRule="auto"/>
              <w:rPr>
                <w:rFonts w:ascii="Arial" w:hAnsi="Arial" w:cs="Arial"/>
              </w:rPr>
            </w:pPr>
            <w:r w:rsidRPr="00EB5084">
              <w:rPr>
                <w:rFonts w:ascii="Arial" w:hAnsi="Arial" w:cs="Arial"/>
              </w:rPr>
              <w:t>Financiamiento que se entrega para el pago de salarios a la fuerza de trabajo contratada por las diferentes modalidades de la inversión extranjera, al considerar un peso cubano (CUP) por cada peso convertible (CUC) que ingrese para este destino a la cuenta de las entidades empleadoras, más el importe resultante de aplicarle a dicho monto el 12,5 % como Contribución a la Seguridad Social. La suma de ambos importes significa el máximo de recursos a recibir del Presupuesto del Estado.</w:t>
            </w:r>
          </w:p>
        </w:tc>
      </w:tr>
      <w:tr w:rsidR="00585473" w:rsidRPr="00EB5084" w:rsidTr="00EC3364">
        <w:tblPrEx>
          <w:jc w:val="left"/>
        </w:tblPrEx>
        <w:trPr>
          <w:trHeight w:val="285"/>
          <w:tblHeader/>
        </w:trPr>
        <w:tc>
          <w:tcPr>
            <w:tcW w:w="4111" w:type="dxa"/>
            <w:gridSpan w:val="2"/>
            <w:shd w:val="clear" w:color="auto" w:fill="auto"/>
            <w:hideMark/>
          </w:tcPr>
          <w:p w:rsidR="00585473" w:rsidRPr="00EB5084" w:rsidRDefault="00585473" w:rsidP="00EC3364">
            <w:pPr>
              <w:spacing w:before="40" w:after="40" w:line="240" w:lineRule="auto"/>
              <w:rPr>
                <w:rFonts w:ascii="Arial" w:hAnsi="Arial" w:cs="Arial"/>
              </w:rPr>
            </w:pPr>
            <w:r w:rsidRPr="00EB5084">
              <w:rPr>
                <w:rFonts w:ascii="Arial" w:hAnsi="Arial" w:cs="Arial"/>
              </w:rPr>
              <w:t>Garantía salarial</w:t>
            </w:r>
          </w:p>
        </w:tc>
        <w:tc>
          <w:tcPr>
            <w:tcW w:w="7052" w:type="dxa"/>
            <w:gridSpan w:val="2"/>
            <w:shd w:val="clear" w:color="auto" w:fill="auto"/>
            <w:hideMark/>
          </w:tcPr>
          <w:p w:rsidR="00585473" w:rsidRPr="00EB5084" w:rsidRDefault="00585473" w:rsidP="00EC3364">
            <w:pPr>
              <w:spacing w:before="40" w:after="40" w:line="240" w:lineRule="auto"/>
              <w:rPr>
                <w:rFonts w:ascii="Arial" w:hAnsi="Arial" w:cs="Arial"/>
              </w:rPr>
            </w:pPr>
            <w:r w:rsidRPr="00EB5084">
              <w:rPr>
                <w:rFonts w:ascii="Arial" w:hAnsi="Arial" w:cs="Arial"/>
              </w:rPr>
              <w:t> </w:t>
            </w:r>
          </w:p>
        </w:tc>
      </w:tr>
      <w:tr w:rsidR="00585473" w:rsidRPr="00EB5084" w:rsidTr="00EC3364">
        <w:tblPrEx>
          <w:jc w:val="left"/>
        </w:tblPrEx>
        <w:trPr>
          <w:trHeight w:val="450"/>
          <w:tblHeader/>
        </w:trPr>
        <w:tc>
          <w:tcPr>
            <w:tcW w:w="4111" w:type="dxa"/>
            <w:gridSpan w:val="2"/>
            <w:shd w:val="clear" w:color="auto" w:fill="auto"/>
            <w:hideMark/>
          </w:tcPr>
          <w:p w:rsidR="00585473" w:rsidRPr="00EB5084" w:rsidRDefault="00585473" w:rsidP="00EC3364">
            <w:pPr>
              <w:spacing w:before="40" w:after="40" w:line="240" w:lineRule="auto"/>
              <w:rPr>
                <w:rFonts w:ascii="Arial" w:hAnsi="Arial" w:cs="Arial"/>
              </w:rPr>
            </w:pPr>
            <w:r w:rsidRPr="00EB5084">
              <w:rPr>
                <w:rFonts w:ascii="Arial" w:hAnsi="Arial" w:cs="Arial"/>
              </w:rPr>
              <w:t xml:space="preserve">Reservas </w:t>
            </w:r>
            <w:proofErr w:type="spellStart"/>
            <w:r w:rsidRPr="00EB5084">
              <w:rPr>
                <w:rFonts w:ascii="Arial" w:hAnsi="Arial" w:cs="Arial"/>
              </w:rPr>
              <w:t>Movilizativas</w:t>
            </w:r>
            <w:proofErr w:type="spellEnd"/>
          </w:p>
        </w:tc>
        <w:tc>
          <w:tcPr>
            <w:tcW w:w="7052" w:type="dxa"/>
            <w:gridSpan w:val="2"/>
            <w:shd w:val="clear" w:color="auto" w:fill="auto"/>
            <w:hideMark/>
          </w:tcPr>
          <w:p w:rsidR="00585473" w:rsidRPr="00EB5084" w:rsidRDefault="00585473" w:rsidP="00EC3364">
            <w:pPr>
              <w:spacing w:before="40" w:after="40" w:line="240" w:lineRule="auto"/>
              <w:rPr>
                <w:rFonts w:ascii="Arial" w:hAnsi="Arial" w:cs="Arial"/>
              </w:rPr>
            </w:pPr>
            <w:r w:rsidRPr="00EB5084">
              <w:rPr>
                <w:rFonts w:ascii="Arial" w:hAnsi="Arial" w:cs="Arial"/>
              </w:rPr>
              <w:t xml:space="preserve">Financiar la asignación de recursos presupuestarios a las entidades económicas para la creación, acumulación y completamiento de las Reservas </w:t>
            </w:r>
            <w:proofErr w:type="spellStart"/>
            <w:r w:rsidRPr="00EB5084">
              <w:rPr>
                <w:rFonts w:ascii="Arial" w:hAnsi="Arial" w:cs="Arial"/>
              </w:rPr>
              <w:t>Movilizativas</w:t>
            </w:r>
            <w:proofErr w:type="spellEnd"/>
          </w:p>
        </w:tc>
      </w:tr>
      <w:tr w:rsidR="00585473" w:rsidRPr="00EB5084" w:rsidTr="00EC3364">
        <w:tblPrEx>
          <w:jc w:val="left"/>
        </w:tblPrEx>
        <w:trPr>
          <w:trHeight w:val="285"/>
          <w:tblHeader/>
        </w:trPr>
        <w:tc>
          <w:tcPr>
            <w:tcW w:w="4111" w:type="dxa"/>
            <w:gridSpan w:val="2"/>
            <w:shd w:val="clear" w:color="auto" w:fill="auto"/>
            <w:hideMark/>
          </w:tcPr>
          <w:p w:rsidR="00585473" w:rsidRPr="00EB5084" w:rsidRDefault="00585473" w:rsidP="00EC3364">
            <w:pPr>
              <w:spacing w:before="40" w:after="40" w:line="240" w:lineRule="auto"/>
              <w:rPr>
                <w:rFonts w:ascii="Arial" w:hAnsi="Arial" w:cs="Arial"/>
              </w:rPr>
            </w:pPr>
            <w:r w:rsidRPr="00EB5084">
              <w:rPr>
                <w:rFonts w:ascii="Arial" w:hAnsi="Arial" w:cs="Arial"/>
              </w:rPr>
              <w:t>Otros</w:t>
            </w:r>
          </w:p>
        </w:tc>
        <w:tc>
          <w:tcPr>
            <w:tcW w:w="7052" w:type="dxa"/>
            <w:gridSpan w:val="2"/>
            <w:shd w:val="clear" w:color="auto" w:fill="auto"/>
            <w:hideMark/>
          </w:tcPr>
          <w:p w:rsidR="00585473" w:rsidRPr="00EB5084" w:rsidRDefault="00585473" w:rsidP="00EC3364">
            <w:pPr>
              <w:spacing w:before="40" w:after="40" w:line="240" w:lineRule="auto"/>
              <w:rPr>
                <w:rFonts w:ascii="Arial" w:hAnsi="Arial" w:cs="Arial"/>
              </w:rPr>
            </w:pPr>
            <w:r w:rsidRPr="00EB5084">
              <w:rPr>
                <w:rFonts w:ascii="Arial" w:hAnsi="Arial" w:cs="Arial"/>
              </w:rPr>
              <w:t> </w:t>
            </w:r>
          </w:p>
        </w:tc>
      </w:tr>
      <w:tr w:rsidR="00585473" w:rsidRPr="00EB5084" w:rsidTr="00EC3364">
        <w:tblPrEx>
          <w:jc w:val="left"/>
        </w:tblPrEx>
        <w:trPr>
          <w:trHeight w:val="570"/>
          <w:tblHeader/>
        </w:trPr>
        <w:tc>
          <w:tcPr>
            <w:tcW w:w="4111" w:type="dxa"/>
            <w:gridSpan w:val="2"/>
            <w:shd w:val="clear" w:color="auto" w:fill="auto"/>
            <w:hideMark/>
          </w:tcPr>
          <w:p w:rsidR="00585473" w:rsidRPr="00EB5084" w:rsidRDefault="00585473" w:rsidP="00EC3364">
            <w:pPr>
              <w:spacing w:before="40" w:after="40" w:line="240" w:lineRule="auto"/>
              <w:rPr>
                <w:rFonts w:ascii="Arial" w:hAnsi="Arial" w:cs="Arial"/>
              </w:rPr>
            </w:pPr>
            <w:r w:rsidRPr="00EB5084">
              <w:rPr>
                <w:rFonts w:ascii="Arial" w:hAnsi="Arial" w:cs="Arial"/>
              </w:rPr>
              <w:t xml:space="preserve">Reintegro Salario </w:t>
            </w:r>
            <w:proofErr w:type="spellStart"/>
            <w:r w:rsidRPr="00EB5084">
              <w:rPr>
                <w:rFonts w:ascii="Arial" w:hAnsi="Arial" w:cs="Arial"/>
              </w:rPr>
              <w:t>Microbrigada</w:t>
            </w:r>
            <w:proofErr w:type="spellEnd"/>
            <w:r w:rsidRPr="00EB5084">
              <w:rPr>
                <w:rFonts w:ascii="Arial" w:hAnsi="Arial" w:cs="Arial"/>
              </w:rPr>
              <w:t xml:space="preserve"> Social</w:t>
            </w:r>
          </w:p>
        </w:tc>
        <w:tc>
          <w:tcPr>
            <w:tcW w:w="7052" w:type="dxa"/>
            <w:gridSpan w:val="2"/>
            <w:shd w:val="clear" w:color="auto" w:fill="auto"/>
            <w:hideMark/>
          </w:tcPr>
          <w:p w:rsidR="00585473" w:rsidRPr="00EB5084" w:rsidRDefault="00585473" w:rsidP="00EC3364">
            <w:pPr>
              <w:spacing w:before="40" w:after="40" w:line="240" w:lineRule="auto"/>
              <w:rPr>
                <w:rFonts w:ascii="Arial" w:hAnsi="Arial" w:cs="Arial"/>
              </w:rPr>
            </w:pPr>
            <w:r w:rsidRPr="00EB5084">
              <w:rPr>
                <w:rFonts w:ascii="Arial" w:hAnsi="Arial" w:cs="Arial"/>
              </w:rPr>
              <w:t>Reintegro a trabajadores para construir viviendas con esfuerzo propio</w:t>
            </w:r>
          </w:p>
        </w:tc>
      </w:tr>
      <w:tr w:rsidR="00585473" w:rsidRPr="00EB5084" w:rsidTr="00EC3364">
        <w:tblPrEx>
          <w:jc w:val="left"/>
        </w:tblPrEx>
        <w:trPr>
          <w:trHeight w:val="1125"/>
          <w:tblHeader/>
        </w:trPr>
        <w:tc>
          <w:tcPr>
            <w:tcW w:w="4111" w:type="dxa"/>
            <w:gridSpan w:val="2"/>
            <w:shd w:val="clear" w:color="auto" w:fill="auto"/>
            <w:hideMark/>
          </w:tcPr>
          <w:p w:rsidR="00585473" w:rsidRPr="00EB5084" w:rsidRDefault="00585473" w:rsidP="00EC3364">
            <w:pPr>
              <w:spacing w:before="40" w:after="40" w:line="240" w:lineRule="auto"/>
              <w:rPr>
                <w:rFonts w:ascii="Arial" w:hAnsi="Arial" w:cs="Arial"/>
              </w:rPr>
            </w:pPr>
            <w:r w:rsidRPr="00EB5084">
              <w:rPr>
                <w:rFonts w:ascii="Arial" w:hAnsi="Arial" w:cs="Arial"/>
              </w:rPr>
              <w:t>Pago de salario fuerza contratada inversión extranjera</w:t>
            </w:r>
          </w:p>
        </w:tc>
        <w:tc>
          <w:tcPr>
            <w:tcW w:w="7052" w:type="dxa"/>
            <w:gridSpan w:val="2"/>
            <w:shd w:val="clear" w:color="auto" w:fill="auto"/>
            <w:hideMark/>
          </w:tcPr>
          <w:p w:rsidR="00585473" w:rsidRPr="00EB5084" w:rsidRDefault="00585473" w:rsidP="00EC3364">
            <w:pPr>
              <w:spacing w:before="40" w:after="40" w:line="240" w:lineRule="auto"/>
              <w:rPr>
                <w:rFonts w:ascii="Arial" w:hAnsi="Arial" w:cs="Arial"/>
              </w:rPr>
            </w:pPr>
            <w:r w:rsidRPr="00EB5084">
              <w:rPr>
                <w:rFonts w:ascii="Arial" w:hAnsi="Arial" w:cs="Arial"/>
              </w:rPr>
              <w:t>Financiamiento que se entrega para el pago de salarios a la fuerza de trabajo contratada por las diferentes modalidades de la inversión extranjera, al considerar un peso cubano (CUP) por cada peso convertible (CUC) que ingrese para este destino a la cuenta de las entidades empleadoras, más el importe resultante de aplicarle a dicho monto el 12,5 % como Contribución a la Seguridad Social. La suma de ambos importes significa el máximo de recursos a recibir del Presupuesto del Estado.</w:t>
            </w:r>
          </w:p>
        </w:tc>
      </w:tr>
      <w:tr w:rsidR="00585473" w:rsidRPr="00EB5084" w:rsidTr="00EC3364">
        <w:tblPrEx>
          <w:jc w:val="left"/>
        </w:tblPrEx>
        <w:trPr>
          <w:trHeight w:val="570"/>
          <w:tblHeader/>
        </w:trPr>
        <w:tc>
          <w:tcPr>
            <w:tcW w:w="4111" w:type="dxa"/>
            <w:gridSpan w:val="2"/>
            <w:shd w:val="clear" w:color="auto" w:fill="auto"/>
            <w:hideMark/>
          </w:tcPr>
          <w:p w:rsidR="00585473" w:rsidRPr="00EB5084" w:rsidRDefault="00585473" w:rsidP="00EC3364">
            <w:pPr>
              <w:spacing w:before="40" w:after="40" w:line="240" w:lineRule="auto"/>
              <w:rPr>
                <w:rFonts w:ascii="Arial" w:hAnsi="Arial" w:cs="Arial"/>
              </w:rPr>
            </w:pPr>
            <w:r w:rsidRPr="00EB5084">
              <w:rPr>
                <w:rFonts w:ascii="Arial" w:hAnsi="Arial" w:cs="Arial"/>
              </w:rPr>
              <w:t xml:space="preserve">Reintegro </w:t>
            </w:r>
            <w:proofErr w:type="spellStart"/>
            <w:r w:rsidRPr="00EB5084">
              <w:rPr>
                <w:rFonts w:ascii="Arial" w:hAnsi="Arial" w:cs="Arial"/>
              </w:rPr>
              <w:t>Slaraio</w:t>
            </w:r>
            <w:proofErr w:type="spellEnd"/>
            <w:r w:rsidRPr="00EB5084">
              <w:rPr>
                <w:rFonts w:ascii="Arial" w:hAnsi="Arial" w:cs="Arial"/>
              </w:rPr>
              <w:t xml:space="preserve"> </w:t>
            </w:r>
            <w:proofErr w:type="spellStart"/>
            <w:r w:rsidRPr="00EB5084">
              <w:rPr>
                <w:rFonts w:ascii="Arial" w:hAnsi="Arial" w:cs="Arial"/>
              </w:rPr>
              <w:t>Microbrigada</w:t>
            </w:r>
            <w:proofErr w:type="spellEnd"/>
            <w:r w:rsidRPr="00EB5084">
              <w:rPr>
                <w:rFonts w:ascii="Arial" w:hAnsi="Arial" w:cs="Arial"/>
              </w:rPr>
              <w:t xml:space="preserve"> Social</w:t>
            </w:r>
          </w:p>
        </w:tc>
        <w:tc>
          <w:tcPr>
            <w:tcW w:w="7052" w:type="dxa"/>
            <w:gridSpan w:val="2"/>
            <w:shd w:val="clear" w:color="auto" w:fill="auto"/>
            <w:hideMark/>
          </w:tcPr>
          <w:p w:rsidR="00585473" w:rsidRPr="00EB5084" w:rsidRDefault="00585473" w:rsidP="00EC3364">
            <w:pPr>
              <w:spacing w:before="40" w:after="40" w:line="240" w:lineRule="auto"/>
              <w:rPr>
                <w:rFonts w:ascii="Arial" w:hAnsi="Arial" w:cs="Arial"/>
              </w:rPr>
            </w:pPr>
            <w:r w:rsidRPr="00EB5084">
              <w:rPr>
                <w:rFonts w:ascii="Arial" w:hAnsi="Arial" w:cs="Arial"/>
              </w:rPr>
              <w:t>Reintegro a trabajadores para construir viviendas con esfuerzo propio</w:t>
            </w:r>
          </w:p>
        </w:tc>
      </w:tr>
      <w:tr w:rsidR="00585473" w:rsidRPr="00EB5084" w:rsidTr="00EC3364">
        <w:tblPrEx>
          <w:jc w:val="left"/>
        </w:tblPrEx>
        <w:trPr>
          <w:trHeight w:val="450"/>
          <w:tblHeader/>
        </w:trPr>
        <w:tc>
          <w:tcPr>
            <w:tcW w:w="4111" w:type="dxa"/>
            <w:gridSpan w:val="2"/>
            <w:shd w:val="clear" w:color="auto" w:fill="auto"/>
            <w:hideMark/>
          </w:tcPr>
          <w:p w:rsidR="00585473" w:rsidRPr="00EB5084" w:rsidRDefault="00585473" w:rsidP="00EC3364">
            <w:pPr>
              <w:spacing w:before="40" w:after="40" w:line="240" w:lineRule="auto"/>
              <w:rPr>
                <w:rFonts w:ascii="Arial" w:hAnsi="Arial" w:cs="Arial"/>
              </w:rPr>
            </w:pPr>
            <w:r w:rsidRPr="00EB5084">
              <w:rPr>
                <w:rFonts w:ascii="Arial" w:hAnsi="Arial" w:cs="Arial"/>
              </w:rPr>
              <w:lastRenderedPageBreak/>
              <w:t xml:space="preserve">Reservas </w:t>
            </w:r>
            <w:proofErr w:type="spellStart"/>
            <w:r w:rsidRPr="00EB5084">
              <w:rPr>
                <w:rFonts w:ascii="Arial" w:hAnsi="Arial" w:cs="Arial"/>
              </w:rPr>
              <w:t>Movilizativas</w:t>
            </w:r>
            <w:proofErr w:type="spellEnd"/>
          </w:p>
        </w:tc>
        <w:tc>
          <w:tcPr>
            <w:tcW w:w="7052" w:type="dxa"/>
            <w:gridSpan w:val="2"/>
            <w:shd w:val="clear" w:color="auto" w:fill="auto"/>
            <w:hideMark/>
          </w:tcPr>
          <w:p w:rsidR="00585473" w:rsidRPr="00EB5084" w:rsidRDefault="00585473" w:rsidP="00EC3364">
            <w:pPr>
              <w:spacing w:before="40" w:after="40" w:line="240" w:lineRule="auto"/>
              <w:rPr>
                <w:rFonts w:ascii="Arial" w:hAnsi="Arial" w:cs="Arial"/>
              </w:rPr>
            </w:pPr>
            <w:r w:rsidRPr="00EB5084">
              <w:rPr>
                <w:rFonts w:ascii="Arial" w:hAnsi="Arial" w:cs="Arial"/>
              </w:rPr>
              <w:t xml:space="preserve">Financiar la asignación de recursos presupuestarios a las entidades económicas para la creación, acumulación y completamiento de las Reservas </w:t>
            </w:r>
            <w:proofErr w:type="spellStart"/>
            <w:r w:rsidRPr="00EB5084">
              <w:rPr>
                <w:rFonts w:ascii="Arial" w:hAnsi="Arial" w:cs="Arial"/>
              </w:rPr>
              <w:t>Movilizativas</w:t>
            </w:r>
            <w:proofErr w:type="spellEnd"/>
          </w:p>
        </w:tc>
      </w:tr>
      <w:tr w:rsidR="00585473" w:rsidRPr="00EB5084" w:rsidTr="00EC3364">
        <w:tblPrEx>
          <w:jc w:val="left"/>
        </w:tblPrEx>
        <w:trPr>
          <w:trHeight w:val="340"/>
          <w:tblHeader/>
        </w:trPr>
        <w:tc>
          <w:tcPr>
            <w:tcW w:w="4111" w:type="dxa"/>
            <w:gridSpan w:val="2"/>
            <w:shd w:val="clear" w:color="auto" w:fill="auto"/>
            <w:hideMark/>
          </w:tcPr>
          <w:p w:rsidR="00585473" w:rsidRPr="00EB5084" w:rsidRDefault="00585473" w:rsidP="00EC3364">
            <w:pPr>
              <w:spacing w:before="40" w:after="40" w:line="240" w:lineRule="auto"/>
              <w:rPr>
                <w:rFonts w:ascii="Arial" w:hAnsi="Arial" w:cs="Arial"/>
              </w:rPr>
            </w:pPr>
            <w:r w:rsidRPr="00EB5084">
              <w:rPr>
                <w:rFonts w:ascii="Arial" w:hAnsi="Arial" w:cs="Arial"/>
              </w:rPr>
              <w:t>Grupo Electrógenos de Emergencia</w:t>
            </w:r>
          </w:p>
        </w:tc>
        <w:tc>
          <w:tcPr>
            <w:tcW w:w="7052" w:type="dxa"/>
            <w:gridSpan w:val="2"/>
            <w:shd w:val="clear" w:color="auto" w:fill="auto"/>
            <w:hideMark/>
          </w:tcPr>
          <w:p w:rsidR="00585473" w:rsidRPr="00EB5084" w:rsidRDefault="00585473" w:rsidP="00EC3364">
            <w:pPr>
              <w:spacing w:before="40" w:after="40" w:line="240" w:lineRule="auto"/>
              <w:rPr>
                <w:rFonts w:ascii="Arial" w:hAnsi="Arial" w:cs="Arial"/>
              </w:rPr>
            </w:pPr>
            <w:r w:rsidRPr="00EB5084">
              <w:rPr>
                <w:rFonts w:ascii="Arial" w:hAnsi="Arial" w:cs="Arial"/>
              </w:rPr>
              <w:t> </w:t>
            </w:r>
          </w:p>
        </w:tc>
      </w:tr>
      <w:tr w:rsidR="00585473" w:rsidRPr="00EB5084" w:rsidTr="00EC3364">
        <w:tblPrEx>
          <w:jc w:val="left"/>
        </w:tblPrEx>
        <w:trPr>
          <w:trHeight w:val="285"/>
          <w:tblHeader/>
        </w:trPr>
        <w:tc>
          <w:tcPr>
            <w:tcW w:w="4111" w:type="dxa"/>
            <w:gridSpan w:val="2"/>
            <w:shd w:val="clear" w:color="auto" w:fill="auto"/>
            <w:hideMark/>
          </w:tcPr>
          <w:p w:rsidR="00585473" w:rsidRPr="00EB5084" w:rsidRDefault="00585473" w:rsidP="00EC3364">
            <w:pPr>
              <w:spacing w:before="40" w:after="40" w:line="240" w:lineRule="auto"/>
              <w:rPr>
                <w:rFonts w:ascii="Arial" w:hAnsi="Arial" w:cs="Arial"/>
              </w:rPr>
            </w:pPr>
            <w:r w:rsidRPr="00EB5084">
              <w:rPr>
                <w:rFonts w:ascii="Arial" w:hAnsi="Arial" w:cs="Arial"/>
              </w:rPr>
              <w:t xml:space="preserve">Huracán </w:t>
            </w:r>
          </w:p>
        </w:tc>
        <w:tc>
          <w:tcPr>
            <w:tcW w:w="7052" w:type="dxa"/>
            <w:gridSpan w:val="2"/>
            <w:shd w:val="clear" w:color="auto" w:fill="auto"/>
            <w:hideMark/>
          </w:tcPr>
          <w:p w:rsidR="00585473" w:rsidRPr="00EB5084" w:rsidRDefault="00585473" w:rsidP="00EC3364">
            <w:pPr>
              <w:spacing w:before="40" w:after="40" w:line="240" w:lineRule="auto"/>
              <w:rPr>
                <w:rFonts w:ascii="Arial" w:hAnsi="Arial" w:cs="Arial"/>
              </w:rPr>
            </w:pPr>
            <w:r w:rsidRPr="00EB5084">
              <w:rPr>
                <w:rFonts w:ascii="Arial" w:hAnsi="Arial" w:cs="Arial"/>
              </w:rPr>
              <w:t> </w:t>
            </w:r>
          </w:p>
        </w:tc>
      </w:tr>
      <w:tr w:rsidR="00585473" w:rsidRPr="00EB5084" w:rsidTr="00EC3364">
        <w:tblPrEx>
          <w:jc w:val="left"/>
        </w:tblPrEx>
        <w:trPr>
          <w:trHeight w:val="675"/>
          <w:tblHeader/>
        </w:trPr>
        <w:tc>
          <w:tcPr>
            <w:tcW w:w="4111" w:type="dxa"/>
            <w:gridSpan w:val="2"/>
            <w:shd w:val="clear" w:color="auto" w:fill="auto"/>
            <w:hideMark/>
          </w:tcPr>
          <w:p w:rsidR="00585473" w:rsidRPr="00EB5084" w:rsidRDefault="00585473" w:rsidP="00EC3364">
            <w:pPr>
              <w:spacing w:before="40" w:after="40" w:line="240" w:lineRule="auto"/>
              <w:rPr>
                <w:rFonts w:ascii="Arial" w:hAnsi="Arial" w:cs="Arial"/>
              </w:rPr>
            </w:pPr>
            <w:r w:rsidRPr="00EB5084">
              <w:rPr>
                <w:rFonts w:ascii="Arial" w:hAnsi="Arial" w:cs="Arial"/>
              </w:rPr>
              <w:t>Pago de Fuerza de Trabajo Zona Especial de Mariel</w:t>
            </w:r>
          </w:p>
        </w:tc>
        <w:tc>
          <w:tcPr>
            <w:tcW w:w="7052" w:type="dxa"/>
            <w:gridSpan w:val="2"/>
            <w:shd w:val="clear" w:color="auto" w:fill="auto"/>
            <w:hideMark/>
          </w:tcPr>
          <w:p w:rsidR="00585473" w:rsidRPr="00EB5084" w:rsidRDefault="00585473" w:rsidP="00EC3364">
            <w:pPr>
              <w:spacing w:before="40" w:after="40" w:line="240" w:lineRule="auto"/>
              <w:rPr>
                <w:rFonts w:ascii="Arial" w:hAnsi="Arial" w:cs="Arial"/>
              </w:rPr>
            </w:pPr>
            <w:r w:rsidRPr="00EB5084">
              <w:rPr>
                <w:rFonts w:ascii="Arial" w:hAnsi="Arial" w:cs="Arial"/>
              </w:rPr>
              <w:t>Se recibe un financiamiento de nueve pesos cubanos por cada peso convertible que se ingrese a la cuenta de operaciones de las entidades empleadoras en la Zona Especial de desarrollo de Mariel, por el pago de salarios de la fuerza de trabajo contratada a los concesionarios y usuarios extranjeros.</w:t>
            </w:r>
          </w:p>
        </w:tc>
      </w:tr>
      <w:tr w:rsidR="00585473" w:rsidRPr="00EB5084" w:rsidTr="00EC3364">
        <w:tblPrEx>
          <w:jc w:val="left"/>
        </w:tblPrEx>
        <w:trPr>
          <w:trHeight w:val="1125"/>
          <w:tblHeader/>
        </w:trPr>
        <w:tc>
          <w:tcPr>
            <w:tcW w:w="4111" w:type="dxa"/>
            <w:gridSpan w:val="2"/>
            <w:shd w:val="clear" w:color="auto" w:fill="auto"/>
            <w:hideMark/>
          </w:tcPr>
          <w:p w:rsidR="00585473" w:rsidRPr="00EB5084" w:rsidRDefault="00585473" w:rsidP="00EC3364">
            <w:pPr>
              <w:spacing w:before="40" w:after="40" w:line="240" w:lineRule="auto"/>
              <w:rPr>
                <w:rFonts w:ascii="Arial" w:hAnsi="Arial" w:cs="Arial"/>
              </w:rPr>
            </w:pPr>
            <w:r w:rsidRPr="00EB5084">
              <w:rPr>
                <w:rFonts w:ascii="Arial" w:hAnsi="Arial" w:cs="Arial"/>
              </w:rPr>
              <w:t>Pago de salario fuerza contratada inversión extranjera</w:t>
            </w:r>
          </w:p>
        </w:tc>
        <w:tc>
          <w:tcPr>
            <w:tcW w:w="7052" w:type="dxa"/>
            <w:gridSpan w:val="2"/>
            <w:shd w:val="clear" w:color="auto" w:fill="auto"/>
            <w:hideMark/>
          </w:tcPr>
          <w:p w:rsidR="00585473" w:rsidRPr="00EB5084" w:rsidRDefault="00585473" w:rsidP="00EC3364">
            <w:pPr>
              <w:spacing w:before="40" w:after="40" w:line="240" w:lineRule="auto"/>
              <w:rPr>
                <w:rFonts w:ascii="Arial" w:hAnsi="Arial" w:cs="Arial"/>
              </w:rPr>
            </w:pPr>
            <w:r w:rsidRPr="00EB5084">
              <w:rPr>
                <w:rFonts w:ascii="Arial" w:hAnsi="Arial" w:cs="Arial"/>
              </w:rPr>
              <w:t>Financiamiento que se entrega para el pago de salarios a la fuerza de trabajo contratada por las diferentes modalidades de la inversión extranjera, al considerar un peso cubano (CUP) por cada peso convertible (CUC) que ingrese para este destino a la cuenta de las entidades empleadoras, más el importe resultante de aplicarle a dicho monto el 12,5 % como Contribución a la Seguridad Social. La suma de ambos importes significa el máximo de recursos a recibir del Presupuesto del Estado.</w:t>
            </w:r>
          </w:p>
        </w:tc>
      </w:tr>
      <w:tr w:rsidR="00585473" w:rsidRPr="00EB5084" w:rsidTr="00EC3364">
        <w:tblPrEx>
          <w:jc w:val="left"/>
        </w:tblPrEx>
        <w:trPr>
          <w:trHeight w:val="1125"/>
          <w:tblHeader/>
        </w:trPr>
        <w:tc>
          <w:tcPr>
            <w:tcW w:w="4111" w:type="dxa"/>
            <w:gridSpan w:val="2"/>
            <w:shd w:val="clear" w:color="auto" w:fill="auto"/>
            <w:hideMark/>
          </w:tcPr>
          <w:p w:rsidR="00585473" w:rsidRPr="00EB5084" w:rsidRDefault="00585473" w:rsidP="00EC3364">
            <w:pPr>
              <w:spacing w:before="40" w:after="40" w:line="240" w:lineRule="auto"/>
              <w:rPr>
                <w:rFonts w:ascii="Arial" w:hAnsi="Arial" w:cs="Arial"/>
              </w:rPr>
            </w:pPr>
            <w:r w:rsidRPr="00EB5084">
              <w:rPr>
                <w:rFonts w:ascii="Arial" w:hAnsi="Arial" w:cs="Arial"/>
              </w:rPr>
              <w:t>Pago de salario fuerza contratada inversión extranjera</w:t>
            </w:r>
          </w:p>
        </w:tc>
        <w:tc>
          <w:tcPr>
            <w:tcW w:w="7052" w:type="dxa"/>
            <w:gridSpan w:val="2"/>
            <w:shd w:val="clear" w:color="auto" w:fill="auto"/>
            <w:hideMark/>
          </w:tcPr>
          <w:p w:rsidR="00585473" w:rsidRPr="00EB5084" w:rsidRDefault="00585473" w:rsidP="00EC3364">
            <w:pPr>
              <w:spacing w:before="40" w:after="40" w:line="240" w:lineRule="auto"/>
              <w:rPr>
                <w:rFonts w:ascii="Arial" w:hAnsi="Arial" w:cs="Arial"/>
              </w:rPr>
            </w:pPr>
            <w:r w:rsidRPr="00EB5084">
              <w:rPr>
                <w:rFonts w:ascii="Arial" w:hAnsi="Arial" w:cs="Arial"/>
              </w:rPr>
              <w:t>Financiamiento que se entrega para el pago de salarios a la fuerza de trabajo contratada por las diferentes modalidades de la inversión extranjera, al considerar un peso cubano (CUP) por cada peso convertible (CUC) que ingrese para este destino a la cuenta de las entidades empleadoras, más el importe resultante de aplicarle a dicho monto el 12,5 % como Contribución a la Seguridad Social. La suma de ambos importes significa el máximo de recursos a recibir del Presupuesto del Estado.</w:t>
            </w:r>
          </w:p>
        </w:tc>
      </w:tr>
      <w:tr w:rsidR="00585473" w:rsidRPr="00EB5084" w:rsidTr="00EC3364">
        <w:tblPrEx>
          <w:jc w:val="left"/>
        </w:tblPrEx>
        <w:trPr>
          <w:trHeight w:val="263"/>
          <w:tblHeader/>
        </w:trPr>
        <w:tc>
          <w:tcPr>
            <w:tcW w:w="4111" w:type="dxa"/>
            <w:gridSpan w:val="2"/>
            <w:shd w:val="clear" w:color="auto" w:fill="auto"/>
            <w:hideMark/>
          </w:tcPr>
          <w:p w:rsidR="00585473" w:rsidRPr="00EB5084" w:rsidRDefault="00585473" w:rsidP="00EC3364">
            <w:pPr>
              <w:spacing w:before="40" w:after="40" w:line="240" w:lineRule="auto"/>
              <w:rPr>
                <w:rFonts w:ascii="Arial" w:hAnsi="Arial" w:cs="Arial"/>
              </w:rPr>
            </w:pPr>
            <w:r w:rsidRPr="00EB5084">
              <w:rPr>
                <w:rFonts w:ascii="Arial" w:hAnsi="Arial" w:cs="Arial"/>
              </w:rPr>
              <w:t xml:space="preserve">Reintegro Salario </w:t>
            </w:r>
            <w:proofErr w:type="spellStart"/>
            <w:r w:rsidRPr="00EB5084">
              <w:rPr>
                <w:rFonts w:ascii="Arial" w:hAnsi="Arial" w:cs="Arial"/>
              </w:rPr>
              <w:t>Microbrigada</w:t>
            </w:r>
            <w:proofErr w:type="spellEnd"/>
            <w:r w:rsidRPr="00EB5084">
              <w:rPr>
                <w:rFonts w:ascii="Arial" w:hAnsi="Arial" w:cs="Arial"/>
              </w:rPr>
              <w:t xml:space="preserve"> Social</w:t>
            </w:r>
          </w:p>
        </w:tc>
        <w:tc>
          <w:tcPr>
            <w:tcW w:w="7052" w:type="dxa"/>
            <w:gridSpan w:val="2"/>
            <w:shd w:val="clear" w:color="auto" w:fill="auto"/>
            <w:hideMark/>
          </w:tcPr>
          <w:p w:rsidR="00585473" w:rsidRPr="00EB5084" w:rsidRDefault="00585473" w:rsidP="00EC3364">
            <w:pPr>
              <w:spacing w:before="40" w:after="40" w:line="240" w:lineRule="auto"/>
              <w:rPr>
                <w:rFonts w:ascii="Arial" w:hAnsi="Arial" w:cs="Arial"/>
              </w:rPr>
            </w:pPr>
            <w:r w:rsidRPr="00EB5084">
              <w:rPr>
                <w:rFonts w:ascii="Arial" w:hAnsi="Arial" w:cs="Arial"/>
              </w:rPr>
              <w:t>Reintegro a trabajadores para construir viviendas con esfuerzo propio</w:t>
            </w:r>
          </w:p>
        </w:tc>
      </w:tr>
      <w:tr w:rsidR="00585473" w:rsidRPr="00EB5084" w:rsidTr="00EC3364">
        <w:tblPrEx>
          <w:jc w:val="left"/>
        </w:tblPrEx>
        <w:trPr>
          <w:trHeight w:val="450"/>
          <w:tblHeader/>
        </w:trPr>
        <w:tc>
          <w:tcPr>
            <w:tcW w:w="4111" w:type="dxa"/>
            <w:gridSpan w:val="2"/>
            <w:shd w:val="clear" w:color="auto" w:fill="auto"/>
            <w:hideMark/>
          </w:tcPr>
          <w:p w:rsidR="00585473" w:rsidRPr="00EB5084" w:rsidRDefault="00585473" w:rsidP="00EC3364">
            <w:pPr>
              <w:spacing w:before="40" w:after="40" w:line="240" w:lineRule="auto"/>
              <w:rPr>
                <w:rFonts w:ascii="Arial" w:hAnsi="Arial" w:cs="Arial"/>
              </w:rPr>
            </w:pPr>
            <w:r w:rsidRPr="00EB5084">
              <w:rPr>
                <w:rFonts w:ascii="Arial" w:hAnsi="Arial" w:cs="Arial"/>
              </w:rPr>
              <w:t xml:space="preserve">Reservas </w:t>
            </w:r>
            <w:proofErr w:type="spellStart"/>
            <w:r w:rsidRPr="00EB5084">
              <w:rPr>
                <w:rFonts w:ascii="Arial" w:hAnsi="Arial" w:cs="Arial"/>
              </w:rPr>
              <w:t>Movilizativas</w:t>
            </w:r>
            <w:proofErr w:type="spellEnd"/>
          </w:p>
        </w:tc>
        <w:tc>
          <w:tcPr>
            <w:tcW w:w="7052" w:type="dxa"/>
            <w:gridSpan w:val="2"/>
            <w:shd w:val="clear" w:color="auto" w:fill="auto"/>
            <w:hideMark/>
          </w:tcPr>
          <w:p w:rsidR="00585473" w:rsidRPr="00EB5084" w:rsidRDefault="00585473" w:rsidP="00EC3364">
            <w:pPr>
              <w:spacing w:before="40" w:after="40" w:line="240" w:lineRule="auto"/>
              <w:rPr>
                <w:rFonts w:ascii="Arial" w:hAnsi="Arial" w:cs="Arial"/>
              </w:rPr>
            </w:pPr>
            <w:r w:rsidRPr="00EB5084">
              <w:rPr>
                <w:rFonts w:ascii="Arial" w:hAnsi="Arial" w:cs="Arial"/>
              </w:rPr>
              <w:t xml:space="preserve">Financiar la asignación de recursos presupuestarios a las entidades económicas para la creación, acumulación y completamiento de las Reservas </w:t>
            </w:r>
            <w:proofErr w:type="spellStart"/>
            <w:r w:rsidRPr="00EB5084">
              <w:rPr>
                <w:rFonts w:ascii="Arial" w:hAnsi="Arial" w:cs="Arial"/>
              </w:rPr>
              <w:t>Movilizativas</w:t>
            </w:r>
            <w:proofErr w:type="spellEnd"/>
          </w:p>
        </w:tc>
      </w:tr>
      <w:tr w:rsidR="00585473" w:rsidRPr="00EB5084" w:rsidTr="00EC3364">
        <w:tblPrEx>
          <w:jc w:val="left"/>
        </w:tblPrEx>
        <w:trPr>
          <w:trHeight w:val="1125"/>
          <w:tblHeader/>
        </w:trPr>
        <w:tc>
          <w:tcPr>
            <w:tcW w:w="4111" w:type="dxa"/>
            <w:gridSpan w:val="2"/>
            <w:shd w:val="clear" w:color="auto" w:fill="auto"/>
            <w:hideMark/>
          </w:tcPr>
          <w:p w:rsidR="00585473" w:rsidRPr="00EB5084" w:rsidRDefault="00585473" w:rsidP="00EC3364">
            <w:pPr>
              <w:spacing w:before="40" w:after="40" w:line="240" w:lineRule="auto"/>
              <w:rPr>
                <w:rFonts w:ascii="Arial" w:hAnsi="Arial" w:cs="Arial"/>
              </w:rPr>
            </w:pPr>
            <w:r w:rsidRPr="00EB5084">
              <w:rPr>
                <w:rFonts w:ascii="Arial" w:hAnsi="Arial" w:cs="Arial"/>
              </w:rPr>
              <w:t>Pago de salario fuerza contratada inversión extranjera</w:t>
            </w:r>
          </w:p>
        </w:tc>
        <w:tc>
          <w:tcPr>
            <w:tcW w:w="7052" w:type="dxa"/>
            <w:gridSpan w:val="2"/>
            <w:shd w:val="clear" w:color="auto" w:fill="auto"/>
            <w:hideMark/>
          </w:tcPr>
          <w:p w:rsidR="00585473" w:rsidRPr="00EB5084" w:rsidRDefault="00585473" w:rsidP="00EC3364">
            <w:pPr>
              <w:spacing w:before="40" w:after="40" w:line="240" w:lineRule="auto"/>
              <w:rPr>
                <w:rFonts w:ascii="Arial" w:hAnsi="Arial" w:cs="Arial"/>
              </w:rPr>
            </w:pPr>
            <w:r w:rsidRPr="00EB5084">
              <w:rPr>
                <w:rFonts w:ascii="Arial" w:hAnsi="Arial" w:cs="Arial"/>
              </w:rPr>
              <w:t>Financiamiento que se entrega para el pago de salarios a la fuerza de trabajo contratada por las diferentes modalidades de la inversión extranjera, al considerar un peso cubano (CUP) por cada peso convertible (CUC) que ingrese para este destino a la cuenta de las entidades empleadoras, más el importe resultante de aplicarle a dicho monto el 12,5 % como Contribución a la Seguridad Social. La suma de ambos importes significa el máximo de recursos a recibir del Presupuesto del Estado.</w:t>
            </w:r>
          </w:p>
        </w:tc>
      </w:tr>
      <w:tr w:rsidR="00585473" w:rsidRPr="00EB5084" w:rsidTr="00EC3364">
        <w:tblPrEx>
          <w:jc w:val="left"/>
        </w:tblPrEx>
        <w:trPr>
          <w:trHeight w:val="285"/>
          <w:tblHeader/>
        </w:trPr>
        <w:tc>
          <w:tcPr>
            <w:tcW w:w="4111" w:type="dxa"/>
            <w:gridSpan w:val="2"/>
            <w:shd w:val="clear" w:color="auto" w:fill="auto"/>
            <w:hideMark/>
          </w:tcPr>
          <w:p w:rsidR="00585473" w:rsidRPr="00EB5084" w:rsidRDefault="00585473" w:rsidP="00EC3364">
            <w:pPr>
              <w:spacing w:before="40" w:after="40" w:line="240" w:lineRule="auto"/>
              <w:rPr>
                <w:rFonts w:ascii="Arial" w:hAnsi="Arial" w:cs="Arial"/>
              </w:rPr>
            </w:pPr>
            <w:r w:rsidRPr="00EB5084">
              <w:rPr>
                <w:rFonts w:ascii="Arial" w:hAnsi="Arial" w:cs="Arial"/>
              </w:rPr>
              <w:t xml:space="preserve">Conservación de Embarcaciones </w:t>
            </w:r>
          </w:p>
        </w:tc>
        <w:tc>
          <w:tcPr>
            <w:tcW w:w="7052" w:type="dxa"/>
            <w:gridSpan w:val="2"/>
            <w:shd w:val="clear" w:color="auto" w:fill="auto"/>
            <w:hideMark/>
          </w:tcPr>
          <w:p w:rsidR="00585473" w:rsidRPr="00EB5084" w:rsidRDefault="00585473" w:rsidP="00EC3364">
            <w:pPr>
              <w:spacing w:before="40" w:after="40" w:line="240" w:lineRule="auto"/>
              <w:rPr>
                <w:rFonts w:ascii="Arial" w:hAnsi="Arial" w:cs="Arial"/>
              </w:rPr>
            </w:pPr>
            <w:r w:rsidRPr="00EB5084">
              <w:rPr>
                <w:rFonts w:ascii="Arial" w:hAnsi="Arial" w:cs="Arial"/>
              </w:rPr>
              <w:t>Financiamiento por los gastos de almacenaje y mantenimiento de los equipos que están paralizados.</w:t>
            </w:r>
          </w:p>
        </w:tc>
      </w:tr>
      <w:tr w:rsidR="00585473" w:rsidRPr="00EB5084" w:rsidTr="00EC3364">
        <w:tblPrEx>
          <w:jc w:val="left"/>
        </w:tblPrEx>
        <w:trPr>
          <w:trHeight w:val="450"/>
          <w:tblHeader/>
        </w:trPr>
        <w:tc>
          <w:tcPr>
            <w:tcW w:w="4111" w:type="dxa"/>
            <w:gridSpan w:val="2"/>
            <w:shd w:val="clear" w:color="auto" w:fill="auto"/>
            <w:hideMark/>
          </w:tcPr>
          <w:p w:rsidR="00585473" w:rsidRPr="00EB5084" w:rsidRDefault="00585473" w:rsidP="00EC3364">
            <w:pPr>
              <w:spacing w:before="40" w:after="40" w:line="240" w:lineRule="auto"/>
              <w:rPr>
                <w:rFonts w:ascii="Arial" w:hAnsi="Arial" w:cs="Arial"/>
              </w:rPr>
            </w:pPr>
            <w:r w:rsidRPr="00EB5084">
              <w:rPr>
                <w:rFonts w:ascii="Arial" w:hAnsi="Arial" w:cs="Arial"/>
              </w:rPr>
              <w:t>Proyecto Gran Vivienda Venezuela</w:t>
            </w:r>
          </w:p>
        </w:tc>
        <w:tc>
          <w:tcPr>
            <w:tcW w:w="7052" w:type="dxa"/>
            <w:gridSpan w:val="2"/>
            <w:shd w:val="clear" w:color="auto" w:fill="auto"/>
            <w:hideMark/>
          </w:tcPr>
          <w:p w:rsidR="00585473" w:rsidRPr="00EB5084" w:rsidRDefault="00585473" w:rsidP="00EC3364">
            <w:pPr>
              <w:spacing w:before="40" w:after="40" w:line="240" w:lineRule="auto"/>
              <w:rPr>
                <w:rFonts w:ascii="Arial" w:hAnsi="Arial" w:cs="Arial"/>
              </w:rPr>
            </w:pPr>
            <w:r w:rsidRPr="00EB5084">
              <w:rPr>
                <w:rFonts w:ascii="Arial" w:hAnsi="Arial" w:cs="Arial"/>
              </w:rPr>
              <w:t>Financiar los gastos por la participación de obreros y técnicos cubanos en apoyo a la Misión Gran Vivienda Venezuela.</w:t>
            </w:r>
          </w:p>
        </w:tc>
      </w:tr>
      <w:tr w:rsidR="00585473" w:rsidRPr="00EB5084" w:rsidTr="00EC3364">
        <w:tblPrEx>
          <w:jc w:val="left"/>
        </w:tblPrEx>
        <w:trPr>
          <w:trHeight w:val="900"/>
          <w:tblHeader/>
        </w:trPr>
        <w:tc>
          <w:tcPr>
            <w:tcW w:w="4111" w:type="dxa"/>
            <w:gridSpan w:val="2"/>
            <w:shd w:val="clear" w:color="auto" w:fill="auto"/>
            <w:hideMark/>
          </w:tcPr>
          <w:p w:rsidR="00585473" w:rsidRPr="00EB5084" w:rsidRDefault="00585473" w:rsidP="00EC3364">
            <w:pPr>
              <w:spacing w:before="40" w:after="40" w:line="240" w:lineRule="auto"/>
              <w:rPr>
                <w:rFonts w:ascii="Arial" w:hAnsi="Arial" w:cs="Arial"/>
              </w:rPr>
            </w:pPr>
            <w:r w:rsidRPr="00EB5084">
              <w:rPr>
                <w:rFonts w:ascii="Arial" w:hAnsi="Arial" w:cs="Arial"/>
              </w:rPr>
              <w:t>Transportación en Patanas</w:t>
            </w:r>
          </w:p>
        </w:tc>
        <w:tc>
          <w:tcPr>
            <w:tcW w:w="7052" w:type="dxa"/>
            <w:gridSpan w:val="2"/>
            <w:shd w:val="clear" w:color="auto" w:fill="auto"/>
            <w:hideMark/>
          </w:tcPr>
          <w:p w:rsidR="00585473" w:rsidRPr="00EB5084" w:rsidRDefault="00585473" w:rsidP="00EC3364">
            <w:pPr>
              <w:spacing w:before="40" w:after="40" w:line="240" w:lineRule="auto"/>
              <w:rPr>
                <w:rFonts w:ascii="Arial" w:hAnsi="Arial" w:cs="Arial"/>
              </w:rPr>
            </w:pPr>
            <w:r w:rsidRPr="00EB5084">
              <w:rPr>
                <w:rFonts w:ascii="Arial" w:hAnsi="Arial" w:cs="Arial"/>
              </w:rPr>
              <w:t>Financiar a la Empresa Aseguradora del Comercio Mayorista de Productos Alimenticios y Otros Bienes de Consumo (ASEGEM), la diferencia que asume, entre el costo por la transportación de alimentos en patanas, y el costo que está incluido en el margen comercial de las empresas provinciales de alimentos por la transportación que se realiza por otros medios.</w:t>
            </w:r>
          </w:p>
        </w:tc>
      </w:tr>
      <w:tr w:rsidR="00585473" w:rsidRPr="00EB5084" w:rsidTr="00EC3364">
        <w:tblPrEx>
          <w:jc w:val="left"/>
        </w:tblPrEx>
        <w:trPr>
          <w:trHeight w:val="1125"/>
          <w:tblHeader/>
        </w:trPr>
        <w:tc>
          <w:tcPr>
            <w:tcW w:w="4111" w:type="dxa"/>
            <w:gridSpan w:val="2"/>
            <w:shd w:val="clear" w:color="auto" w:fill="auto"/>
            <w:hideMark/>
          </w:tcPr>
          <w:p w:rsidR="00585473" w:rsidRPr="00EB5084" w:rsidRDefault="00585473" w:rsidP="00EC3364">
            <w:pPr>
              <w:spacing w:before="40" w:after="40" w:line="240" w:lineRule="auto"/>
              <w:rPr>
                <w:rFonts w:ascii="Arial" w:hAnsi="Arial" w:cs="Arial"/>
              </w:rPr>
            </w:pPr>
            <w:r w:rsidRPr="00EB5084">
              <w:rPr>
                <w:rFonts w:ascii="Arial" w:hAnsi="Arial" w:cs="Arial"/>
              </w:rPr>
              <w:lastRenderedPageBreak/>
              <w:t>Pago de salario fuerza contratada inversión extranjera</w:t>
            </w:r>
          </w:p>
        </w:tc>
        <w:tc>
          <w:tcPr>
            <w:tcW w:w="7052" w:type="dxa"/>
            <w:gridSpan w:val="2"/>
            <w:shd w:val="clear" w:color="auto" w:fill="auto"/>
            <w:hideMark/>
          </w:tcPr>
          <w:p w:rsidR="00585473" w:rsidRPr="00EB5084" w:rsidRDefault="00585473" w:rsidP="00EC3364">
            <w:pPr>
              <w:spacing w:before="40" w:after="40" w:line="240" w:lineRule="auto"/>
              <w:rPr>
                <w:rFonts w:ascii="Arial" w:hAnsi="Arial" w:cs="Arial"/>
              </w:rPr>
            </w:pPr>
            <w:r w:rsidRPr="00EB5084">
              <w:rPr>
                <w:rFonts w:ascii="Arial" w:hAnsi="Arial" w:cs="Arial"/>
              </w:rPr>
              <w:t>Financiamiento que se entrega para el pago de salarios a la fuerza de trabajo contratada por las diferentes modalidades de la inversión extranjera, al considerar un peso cubano (CUP) por cada peso convertible (CUC) que ingrese para este destino a la cuenta de las entidades empleadoras, más el importe resultante de aplicarle a dicho monto el 12,5 % como Contribución a la Seguridad Social. La suma de ambos importes significa el máximo de recursos a recibir del Presupuesto del Estado.</w:t>
            </w:r>
          </w:p>
        </w:tc>
      </w:tr>
      <w:tr w:rsidR="00585473" w:rsidRPr="00EB5084" w:rsidTr="00EC3364">
        <w:tblPrEx>
          <w:jc w:val="left"/>
        </w:tblPrEx>
        <w:trPr>
          <w:trHeight w:val="570"/>
          <w:tblHeader/>
        </w:trPr>
        <w:tc>
          <w:tcPr>
            <w:tcW w:w="4111" w:type="dxa"/>
            <w:gridSpan w:val="2"/>
            <w:shd w:val="clear" w:color="auto" w:fill="auto"/>
            <w:hideMark/>
          </w:tcPr>
          <w:p w:rsidR="00585473" w:rsidRPr="00EB5084" w:rsidRDefault="00585473" w:rsidP="00EC3364">
            <w:pPr>
              <w:spacing w:before="40" w:after="40" w:line="240" w:lineRule="auto"/>
              <w:rPr>
                <w:rFonts w:ascii="Arial" w:hAnsi="Arial" w:cs="Arial"/>
              </w:rPr>
            </w:pPr>
            <w:r w:rsidRPr="00EB5084">
              <w:rPr>
                <w:rFonts w:ascii="Arial" w:hAnsi="Arial" w:cs="Arial"/>
              </w:rPr>
              <w:t>Tasa de 0,24 CUP por CUC de Ingresos</w:t>
            </w:r>
          </w:p>
        </w:tc>
        <w:tc>
          <w:tcPr>
            <w:tcW w:w="7052" w:type="dxa"/>
            <w:gridSpan w:val="2"/>
            <w:shd w:val="clear" w:color="auto" w:fill="auto"/>
            <w:hideMark/>
          </w:tcPr>
          <w:p w:rsidR="00585473" w:rsidRPr="00EB5084" w:rsidRDefault="00585473" w:rsidP="00EC3364">
            <w:pPr>
              <w:spacing w:before="40" w:after="40" w:line="240" w:lineRule="auto"/>
              <w:rPr>
                <w:rFonts w:ascii="Arial" w:hAnsi="Arial" w:cs="Arial"/>
              </w:rPr>
            </w:pPr>
            <w:r w:rsidRPr="00EB5084">
              <w:rPr>
                <w:rFonts w:ascii="Arial" w:hAnsi="Arial" w:cs="Arial"/>
              </w:rPr>
              <w:t>Financiamiento que se entrega a las empresas por la falta de liquidez en pesos cubanos (CUP).</w:t>
            </w:r>
          </w:p>
        </w:tc>
      </w:tr>
      <w:tr w:rsidR="00585473" w:rsidRPr="00EB5084" w:rsidTr="00EC3364">
        <w:tblPrEx>
          <w:jc w:val="left"/>
        </w:tblPrEx>
        <w:trPr>
          <w:trHeight w:val="1125"/>
          <w:tblHeader/>
        </w:trPr>
        <w:tc>
          <w:tcPr>
            <w:tcW w:w="4111" w:type="dxa"/>
            <w:gridSpan w:val="2"/>
            <w:shd w:val="clear" w:color="auto" w:fill="auto"/>
            <w:hideMark/>
          </w:tcPr>
          <w:p w:rsidR="00585473" w:rsidRPr="00EB5084" w:rsidRDefault="00585473" w:rsidP="00EC3364">
            <w:pPr>
              <w:spacing w:before="40" w:after="40" w:line="240" w:lineRule="auto"/>
              <w:rPr>
                <w:rFonts w:ascii="Arial" w:hAnsi="Arial" w:cs="Arial"/>
              </w:rPr>
            </w:pPr>
            <w:r w:rsidRPr="00EB5084">
              <w:rPr>
                <w:rFonts w:ascii="Arial" w:hAnsi="Arial" w:cs="Arial"/>
              </w:rPr>
              <w:t>Pago de salario fuerza contratada inversión extranjera</w:t>
            </w:r>
          </w:p>
        </w:tc>
        <w:tc>
          <w:tcPr>
            <w:tcW w:w="7052" w:type="dxa"/>
            <w:gridSpan w:val="2"/>
            <w:shd w:val="clear" w:color="auto" w:fill="auto"/>
            <w:hideMark/>
          </w:tcPr>
          <w:p w:rsidR="00585473" w:rsidRPr="00EB5084" w:rsidRDefault="00585473" w:rsidP="00EC3364">
            <w:pPr>
              <w:spacing w:before="40" w:after="40" w:line="240" w:lineRule="auto"/>
              <w:rPr>
                <w:rFonts w:ascii="Arial" w:hAnsi="Arial" w:cs="Arial"/>
              </w:rPr>
            </w:pPr>
            <w:r w:rsidRPr="00EB5084">
              <w:rPr>
                <w:rFonts w:ascii="Arial" w:hAnsi="Arial" w:cs="Arial"/>
              </w:rPr>
              <w:t>Financiamiento que se entrega para el pago de salarios a la fuerza de trabajo contratada por las diferentes modalidades de la inversión extranjera, al considerar un peso cubano (CUP) por cada peso convertible (CUC) que ingrese para este destino a la cuenta de las entidades empleadoras, más el importe resultante de aplicarle a dicho monto el 12,5 % como Contribución a la Seguridad Social. La suma de ambos importes significa el máximo de recursos a recibir del Presupuesto del Estado.</w:t>
            </w:r>
          </w:p>
        </w:tc>
      </w:tr>
      <w:tr w:rsidR="00585473" w:rsidRPr="00EB5084" w:rsidTr="00EC3364">
        <w:tblPrEx>
          <w:jc w:val="left"/>
        </w:tblPrEx>
        <w:trPr>
          <w:trHeight w:val="450"/>
          <w:tblHeader/>
        </w:trPr>
        <w:tc>
          <w:tcPr>
            <w:tcW w:w="4111" w:type="dxa"/>
            <w:gridSpan w:val="2"/>
            <w:shd w:val="clear" w:color="auto" w:fill="auto"/>
            <w:hideMark/>
          </w:tcPr>
          <w:p w:rsidR="00585473" w:rsidRPr="00EB5084" w:rsidRDefault="00585473" w:rsidP="00EC3364">
            <w:pPr>
              <w:spacing w:before="40" w:after="40" w:line="240" w:lineRule="auto"/>
              <w:rPr>
                <w:rFonts w:ascii="Arial" w:hAnsi="Arial" w:cs="Arial"/>
              </w:rPr>
            </w:pPr>
            <w:r w:rsidRPr="00EB5084">
              <w:rPr>
                <w:rFonts w:ascii="Arial" w:hAnsi="Arial" w:cs="Arial"/>
              </w:rPr>
              <w:t xml:space="preserve">Reservas </w:t>
            </w:r>
            <w:proofErr w:type="spellStart"/>
            <w:r w:rsidRPr="00EB5084">
              <w:rPr>
                <w:rFonts w:ascii="Arial" w:hAnsi="Arial" w:cs="Arial"/>
              </w:rPr>
              <w:t>Movilizativas</w:t>
            </w:r>
            <w:proofErr w:type="spellEnd"/>
          </w:p>
        </w:tc>
        <w:tc>
          <w:tcPr>
            <w:tcW w:w="7052" w:type="dxa"/>
            <w:gridSpan w:val="2"/>
            <w:shd w:val="clear" w:color="auto" w:fill="auto"/>
            <w:hideMark/>
          </w:tcPr>
          <w:p w:rsidR="00585473" w:rsidRPr="00EB5084" w:rsidRDefault="00585473" w:rsidP="00EC3364">
            <w:pPr>
              <w:spacing w:before="40" w:after="40" w:line="240" w:lineRule="auto"/>
              <w:rPr>
                <w:rFonts w:ascii="Arial" w:hAnsi="Arial" w:cs="Arial"/>
              </w:rPr>
            </w:pPr>
            <w:r w:rsidRPr="00EB5084">
              <w:rPr>
                <w:rFonts w:ascii="Arial" w:hAnsi="Arial" w:cs="Arial"/>
              </w:rPr>
              <w:t xml:space="preserve">Financiar la asignación de recursos presupuestarios a las entidades económicas para la creación, acumulación y completamiento de las Reservas </w:t>
            </w:r>
            <w:proofErr w:type="spellStart"/>
            <w:r w:rsidRPr="00EB5084">
              <w:rPr>
                <w:rFonts w:ascii="Arial" w:hAnsi="Arial" w:cs="Arial"/>
              </w:rPr>
              <w:t>Movilizativas</w:t>
            </w:r>
            <w:proofErr w:type="spellEnd"/>
            <w:r w:rsidRPr="00EB5084">
              <w:rPr>
                <w:rFonts w:ascii="Arial" w:hAnsi="Arial" w:cs="Arial"/>
              </w:rPr>
              <w:t>.</w:t>
            </w:r>
          </w:p>
        </w:tc>
      </w:tr>
      <w:tr w:rsidR="00585473" w:rsidRPr="00EB5084" w:rsidTr="00EC3364">
        <w:tblPrEx>
          <w:jc w:val="left"/>
        </w:tblPrEx>
        <w:trPr>
          <w:trHeight w:val="570"/>
          <w:tblHeader/>
        </w:trPr>
        <w:tc>
          <w:tcPr>
            <w:tcW w:w="4111" w:type="dxa"/>
            <w:gridSpan w:val="2"/>
            <w:shd w:val="clear" w:color="auto" w:fill="auto"/>
            <w:hideMark/>
          </w:tcPr>
          <w:p w:rsidR="00585473" w:rsidRPr="00EB5084" w:rsidRDefault="00585473" w:rsidP="00EC3364">
            <w:pPr>
              <w:spacing w:before="40" w:after="40" w:line="240" w:lineRule="auto"/>
              <w:rPr>
                <w:rFonts w:ascii="Arial" w:hAnsi="Arial" w:cs="Arial"/>
              </w:rPr>
            </w:pPr>
            <w:r w:rsidRPr="00EB5084">
              <w:rPr>
                <w:rFonts w:ascii="Arial" w:hAnsi="Arial" w:cs="Arial"/>
              </w:rPr>
              <w:t>Tasa de 0,24 CUP por CUC de Ingresos</w:t>
            </w:r>
          </w:p>
        </w:tc>
        <w:tc>
          <w:tcPr>
            <w:tcW w:w="7052" w:type="dxa"/>
            <w:gridSpan w:val="2"/>
            <w:shd w:val="clear" w:color="auto" w:fill="auto"/>
            <w:hideMark/>
          </w:tcPr>
          <w:p w:rsidR="00585473" w:rsidRPr="00EB5084" w:rsidRDefault="00585473" w:rsidP="00EC3364">
            <w:pPr>
              <w:spacing w:before="40" w:after="40" w:line="240" w:lineRule="auto"/>
              <w:rPr>
                <w:rFonts w:ascii="Arial" w:hAnsi="Arial" w:cs="Arial"/>
              </w:rPr>
            </w:pPr>
            <w:r w:rsidRPr="00EB5084">
              <w:rPr>
                <w:rFonts w:ascii="Arial" w:hAnsi="Arial" w:cs="Arial"/>
              </w:rPr>
              <w:t>Financiamiento que se entrega a las empresas por la falta de liquidez en pesos cubanos (CUP</w:t>
            </w:r>
          </w:p>
        </w:tc>
      </w:tr>
      <w:tr w:rsidR="00585473" w:rsidRPr="00EB5084" w:rsidTr="00EC3364">
        <w:tblPrEx>
          <w:jc w:val="left"/>
        </w:tblPrEx>
        <w:trPr>
          <w:trHeight w:val="450"/>
          <w:tblHeader/>
        </w:trPr>
        <w:tc>
          <w:tcPr>
            <w:tcW w:w="4111" w:type="dxa"/>
            <w:gridSpan w:val="2"/>
            <w:shd w:val="clear" w:color="auto" w:fill="auto"/>
            <w:hideMark/>
          </w:tcPr>
          <w:p w:rsidR="00585473" w:rsidRPr="00EB5084" w:rsidRDefault="00585473" w:rsidP="00EC3364">
            <w:pPr>
              <w:spacing w:before="40" w:after="40" w:line="240" w:lineRule="auto"/>
              <w:rPr>
                <w:rFonts w:ascii="Arial" w:hAnsi="Arial" w:cs="Arial"/>
              </w:rPr>
            </w:pPr>
            <w:r w:rsidRPr="00EB5084">
              <w:rPr>
                <w:rFonts w:ascii="Arial" w:hAnsi="Arial" w:cs="Arial"/>
              </w:rPr>
              <w:t xml:space="preserve">Reserva </w:t>
            </w:r>
            <w:proofErr w:type="spellStart"/>
            <w:r w:rsidRPr="00EB5084">
              <w:rPr>
                <w:rFonts w:ascii="Arial" w:hAnsi="Arial" w:cs="Arial"/>
              </w:rPr>
              <w:t>Movilizativa</w:t>
            </w:r>
            <w:proofErr w:type="spellEnd"/>
          </w:p>
        </w:tc>
        <w:tc>
          <w:tcPr>
            <w:tcW w:w="7052" w:type="dxa"/>
            <w:gridSpan w:val="2"/>
            <w:shd w:val="clear" w:color="auto" w:fill="auto"/>
            <w:hideMark/>
          </w:tcPr>
          <w:p w:rsidR="00585473" w:rsidRPr="00EB5084" w:rsidRDefault="00585473" w:rsidP="00EC3364">
            <w:pPr>
              <w:spacing w:before="40" w:after="40" w:line="240" w:lineRule="auto"/>
              <w:rPr>
                <w:rFonts w:ascii="Arial" w:hAnsi="Arial" w:cs="Arial"/>
              </w:rPr>
            </w:pPr>
            <w:r w:rsidRPr="00EB5084">
              <w:rPr>
                <w:rFonts w:ascii="Arial" w:hAnsi="Arial" w:cs="Arial"/>
              </w:rPr>
              <w:t xml:space="preserve">Financiar la asignación de recursos presupuestarios a las entidades económicas para la creación, acumulación y completamiento de las Reservas </w:t>
            </w:r>
            <w:proofErr w:type="spellStart"/>
            <w:r w:rsidRPr="00EB5084">
              <w:rPr>
                <w:rFonts w:ascii="Arial" w:hAnsi="Arial" w:cs="Arial"/>
              </w:rPr>
              <w:t>Movilizativas</w:t>
            </w:r>
            <w:proofErr w:type="spellEnd"/>
          </w:p>
        </w:tc>
      </w:tr>
      <w:tr w:rsidR="00585473" w:rsidRPr="00EB5084" w:rsidTr="00EC3364">
        <w:tblPrEx>
          <w:jc w:val="left"/>
        </w:tblPrEx>
        <w:trPr>
          <w:trHeight w:val="450"/>
          <w:tblHeader/>
        </w:trPr>
        <w:tc>
          <w:tcPr>
            <w:tcW w:w="4111" w:type="dxa"/>
            <w:gridSpan w:val="2"/>
            <w:shd w:val="clear" w:color="auto" w:fill="auto"/>
            <w:hideMark/>
          </w:tcPr>
          <w:p w:rsidR="00585473" w:rsidRPr="00EB5084" w:rsidRDefault="00585473" w:rsidP="00EC3364">
            <w:pPr>
              <w:spacing w:before="40" w:after="40" w:line="240" w:lineRule="auto"/>
              <w:rPr>
                <w:rFonts w:ascii="Arial" w:hAnsi="Arial" w:cs="Arial"/>
              </w:rPr>
            </w:pPr>
            <w:proofErr w:type="spellStart"/>
            <w:r w:rsidRPr="00EB5084">
              <w:rPr>
                <w:rFonts w:ascii="Arial" w:hAnsi="Arial" w:cs="Arial"/>
              </w:rPr>
              <w:t>Selecmar</w:t>
            </w:r>
            <w:proofErr w:type="spellEnd"/>
            <w:r w:rsidRPr="00EB5084">
              <w:rPr>
                <w:rFonts w:ascii="Arial" w:hAnsi="Arial" w:cs="Arial"/>
              </w:rPr>
              <w:t xml:space="preserve"> </w:t>
            </w:r>
          </w:p>
        </w:tc>
        <w:tc>
          <w:tcPr>
            <w:tcW w:w="7052" w:type="dxa"/>
            <w:gridSpan w:val="2"/>
            <w:shd w:val="clear" w:color="auto" w:fill="auto"/>
            <w:hideMark/>
          </w:tcPr>
          <w:p w:rsidR="00585473" w:rsidRPr="00EB5084" w:rsidRDefault="00585473" w:rsidP="00EC3364">
            <w:pPr>
              <w:spacing w:before="40" w:after="40" w:line="240" w:lineRule="auto"/>
              <w:rPr>
                <w:rFonts w:ascii="Arial" w:hAnsi="Arial" w:cs="Arial"/>
              </w:rPr>
            </w:pPr>
            <w:r w:rsidRPr="00EB5084">
              <w:rPr>
                <w:rFonts w:ascii="Arial" w:hAnsi="Arial" w:cs="Arial"/>
              </w:rPr>
              <w:t xml:space="preserve">Financiar la Cont. </w:t>
            </w:r>
            <w:proofErr w:type="gramStart"/>
            <w:r w:rsidRPr="00EB5084">
              <w:rPr>
                <w:rFonts w:ascii="Arial" w:hAnsi="Arial" w:cs="Arial"/>
              </w:rPr>
              <w:t>a</w:t>
            </w:r>
            <w:proofErr w:type="gramEnd"/>
            <w:r w:rsidRPr="00EB5084">
              <w:rPr>
                <w:rFonts w:ascii="Arial" w:hAnsi="Arial" w:cs="Arial"/>
              </w:rPr>
              <w:t xml:space="preserve"> la Seguridad Social a largo plazo de los tripulantes que navegan en navieras extranjeras. </w:t>
            </w:r>
            <w:proofErr w:type="spellStart"/>
            <w:r w:rsidRPr="00EB5084">
              <w:rPr>
                <w:rFonts w:ascii="Arial" w:hAnsi="Arial" w:cs="Arial"/>
              </w:rPr>
              <w:t>Asist</w:t>
            </w:r>
            <w:proofErr w:type="spellEnd"/>
            <w:r w:rsidRPr="00EB5084">
              <w:rPr>
                <w:rFonts w:ascii="Arial" w:hAnsi="Arial" w:cs="Arial"/>
              </w:rPr>
              <w:t>. Social por pago de los egresados formados en la academia y tripulantes disponibles.</w:t>
            </w:r>
          </w:p>
        </w:tc>
      </w:tr>
      <w:tr w:rsidR="00585473" w:rsidRPr="00EB5084" w:rsidTr="00EC3364">
        <w:tblPrEx>
          <w:jc w:val="left"/>
        </w:tblPrEx>
        <w:trPr>
          <w:trHeight w:val="570"/>
          <w:tblHeader/>
        </w:trPr>
        <w:tc>
          <w:tcPr>
            <w:tcW w:w="4111" w:type="dxa"/>
            <w:gridSpan w:val="2"/>
            <w:shd w:val="clear" w:color="auto" w:fill="auto"/>
            <w:hideMark/>
          </w:tcPr>
          <w:p w:rsidR="00585473" w:rsidRPr="00EB5084" w:rsidRDefault="00585473" w:rsidP="00EC3364">
            <w:pPr>
              <w:spacing w:before="40" w:after="40" w:line="240" w:lineRule="auto"/>
              <w:rPr>
                <w:rFonts w:ascii="Arial" w:hAnsi="Arial" w:cs="Arial"/>
              </w:rPr>
            </w:pPr>
            <w:r w:rsidRPr="00EB5084">
              <w:rPr>
                <w:rFonts w:ascii="Arial" w:hAnsi="Arial" w:cs="Arial"/>
              </w:rPr>
              <w:t xml:space="preserve">Reintegro Salario </w:t>
            </w:r>
            <w:proofErr w:type="spellStart"/>
            <w:r w:rsidRPr="00EB5084">
              <w:rPr>
                <w:rFonts w:ascii="Arial" w:hAnsi="Arial" w:cs="Arial"/>
              </w:rPr>
              <w:t>Microbrigada</w:t>
            </w:r>
            <w:proofErr w:type="spellEnd"/>
            <w:r w:rsidRPr="00EB5084">
              <w:rPr>
                <w:rFonts w:ascii="Arial" w:hAnsi="Arial" w:cs="Arial"/>
              </w:rPr>
              <w:t xml:space="preserve"> Social </w:t>
            </w:r>
            <w:proofErr w:type="spellStart"/>
            <w:r w:rsidRPr="00EB5084">
              <w:rPr>
                <w:rFonts w:ascii="Arial" w:hAnsi="Arial" w:cs="Arial"/>
              </w:rPr>
              <w:t>Asticar</w:t>
            </w:r>
            <w:proofErr w:type="spellEnd"/>
          </w:p>
        </w:tc>
        <w:tc>
          <w:tcPr>
            <w:tcW w:w="7052" w:type="dxa"/>
            <w:gridSpan w:val="2"/>
            <w:shd w:val="clear" w:color="auto" w:fill="auto"/>
            <w:hideMark/>
          </w:tcPr>
          <w:p w:rsidR="00585473" w:rsidRPr="00EB5084" w:rsidRDefault="00585473" w:rsidP="00EC3364">
            <w:pPr>
              <w:spacing w:before="40" w:after="40" w:line="240" w:lineRule="auto"/>
              <w:rPr>
                <w:rFonts w:ascii="Arial" w:hAnsi="Arial" w:cs="Arial"/>
              </w:rPr>
            </w:pPr>
            <w:r w:rsidRPr="00EB5084">
              <w:rPr>
                <w:rFonts w:ascii="Arial" w:hAnsi="Arial" w:cs="Arial"/>
              </w:rPr>
              <w:t>Reintegro a trabajadores para construir viviendas con esfuerzo propio</w:t>
            </w:r>
          </w:p>
        </w:tc>
      </w:tr>
      <w:tr w:rsidR="00585473" w:rsidRPr="00EB5084" w:rsidTr="00EC3364">
        <w:tblPrEx>
          <w:jc w:val="left"/>
        </w:tblPrEx>
        <w:trPr>
          <w:trHeight w:val="1125"/>
          <w:tblHeader/>
        </w:trPr>
        <w:tc>
          <w:tcPr>
            <w:tcW w:w="4111" w:type="dxa"/>
            <w:gridSpan w:val="2"/>
            <w:shd w:val="clear" w:color="auto" w:fill="auto"/>
            <w:hideMark/>
          </w:tcPr>
          <w:p w:rsidR="00585473" w:rsidRPr="00EB5084" w:rsidRDefault="00585473" w:rsidP="00EC3364">
            <w:pPr>
              <w:spacing w:before="40" w:after="40" w:line="240" w:lineRule="auto"/>
              <w:rPr>
                <w:rFonts w:ascii="Arial" w:hAnsi="Arial" w:cs="Arial"/>
              </w:rPr>
            </w:pPr>
            <w:r w:rsidRPr="00EB5084">
              <w:rPr>
                <w:rFonts w:ascii="Arial" w:hAnsi="Arial" w:cs="Arial"/>
              </w:rPr>
              <w:t>Pago de salario fuerza contratada inversión extranjera</w:t>
            </w:r>
          </w:p>
        </w:tc>
        <w:tc>
          <w:tcPr>
            <w:tcW w:w="7052" w:type="dxa"/>
            <w:gridSpan w:val="2"/>
            <w:shd w:val="clear" w:color="auto" w:fill="auto"/>
            <w:hideMark/>
          </w:tcPr>
          <w:p w:rsidR="00585473" w:rsidRPr="00EB5084" w:rsidRDefault="00585473" w:rsidP="00EC3364">
            <w:pPr>
              <w:spacing w:before="40" w:after="40" w:line="240" w:lineRule="auto"/>
              <w:rPr>
                <w:rFonts w:ascii="Arial" w:hAnsi="Arial" w:cs="Arial"/>
              </w:rPr>
            </w:pPr>
            <w:r w:rsidRPr="00EB5084">
              <w:rPr>
                <w:rFonts w:ascii="Arial" w:hAnsi="Arial" w:cs="Arial"/>
              </w:rPr>
              <w:t>Financiamiento que se entrega para el pago de salarios a la fuerza de trabajo contratada por las diferentes modalidades de la inversión extranjera, al considerar un peso cubano (CUP) por cada peso convertible (CUC) que ingrese para este destino a la cuenta de las entidades empleadoras, más el importe resultante de aplicarle a dicho monto el 12,5 % como Contribución a la Seguridad Social. La suma de ambos importes significa el máximo de recursos a recibir del Presupuesto del Estado.</w:t>
            </w:r>
          </w:p>
        </w:tc>
      </w:tr>
      <w:tr w:rsidR="00585473" w:rsidRPr="00EB5084" w:rsidTr="00EC3364">
        <w:tblPrEx>
          <w:jc w:val="left"/>
        </w:tblPrEx>
        <w:trPr>
          <w:trHeight w:val="1125"/>
          <w:tblHeader/>
        </w:trPr>
        <w:tc>
          <w:tcPr>
            <w:tcW w:w="4111" w:type="dxa"/>
            <w:gridSpan w:val="2"/>
            <w:shd w:val="clear" w:color="auto" w:fill="auto"/>
            <w:hideMark/>
          </w:tcPr>
          <w:p w:rsidR="00585473" w:rsidRPr="00EB5084" w:rsidRDefault="00585473" w:rsidP="00EC3364">
            <w:pPr>
              <w:spacing w:before="40" w:after="40" w:line="240" w:lineRule="auto"/>
              <w:rPr>
                <w:rFonts w:ascii="Arial" w:hAnsi="Arial" w:cs="Arial"/>
              </w:rPr>
            </w:pPr>
            <w:r w:rsidRPr="00EB5084">
              <w:rPr>
                <w:rFonts w:ascii="Arial" w:hAnsi="Arial" w:cs="Arial"/>
              </w:rPr>
              <w:t>Pago de salario fuerza contratada inversión extranjera</w:t>
            </w:r>
          </w:p>
        </w:tc>
        <w:tc>
          <w:tcPr>
            <w:tcW w:w="7052" w:type="dxa"/>
            <w:gridSpan w:val="2"/>
            <w:shd w:val="clear" w:color="auto" w:fill="auto"/>
            <w:hideMark/>
          </w:tcPr>
          <w:p w:rsidR="00585473" w:rsidRPr="00EB5084" w:rsidRDefault="00585473" w:rsidP="00EC3364">
            <w:pPr>
              <w:spacing w:before="40" w:after="40" w:line="240" w:lineRule="auto"/>
              <w:rPr>
                <w:rFonts w:ascii="Arial" w:hAnsi="Arial" w:cs="Arial"/>
              </w:rPr>
            </w:pPr>
            <w:r w:rsidRPr="00EB5084">
              <w:rPr>
                <w:rFonts w:ascii="Arial" w:hAnsi="Arial" w:cs="Arial"/>
              </w:rPr>
              <w:t>Financiamiento que se entrega para el pago de salarios a la fuerza de trabajo contratada por las diferentes modalidades de la inversión extranjera, al considerar un peso cubano (CUP) por cada peso convertible (CUC) que ingrese para este destino a la cuenta de las entidades empleadoras, más el importe resultante de aplicarle a dicho monto el 12,5 % como Contribución a la Seguridad Social. La suma de ambos importes significa el máximo de recursos a recibir del Presupuesto del Estado.</w:t>
            </w:r>
          </w:p>
        </w:tc>
      </w:tr>
      <w:tr w:rsidR="00585473" w:rsidRPr="00EB5084" w:rsidTr="00EC3364">
        <w:tblPrEx>
          <w:jc w:val="left"/>
        </w:tblPrEx>
        <w:trPr>
          <w:trHeight w:val="675"/>
          <w:tblHeader/>
        </w:trPr>
        <w:tc>
          <w:tcPr>
            <w:tcW w:w="4111" w:type="dxa"/>
            <w:gridSpan w:val="2"/>
            <w:shd w:val="clear" w:color="auto" w:fill="auto"/>
            <w:hideMark/>
          </w:tcPr>
          <w:p w:rsidR="00585473" w:rsidRPr="00EB5084" w:rsidRDefault="00585473" w:rsidP="00EC3364">
            <w:pPr>
              <w:spacing w:before="40" w:after="40" w:line="240" w:lineRule="auto"/>
              <w:rPr>
                <w:rFonts w:ascii="Arial" w:hAnsi="Arial" w:cs="Arial"/>
                <w:bCs/>
              </w:rPr>
            </w:pPr>
            <w:r w:rsidRPr="00EB5084">
              <w:rPr>
                <w:rFonts w:ascii="Arial" w:hAnsi="Arial" w:cs="Arial"/>
                <w:bCs/>
              </w:rPr>
              <w:lastRenderedPageBreak/>
              <w:t>CORREOS DE CUBA (Comisiones)</w:t>
            </w:r>
          </w:p>
        </w:tc>
        <w:tc>
          <w:tcPr>
            <w:tcW w:w="7052" w:type="dxa"/>
            <w:gridSpan w:val="2"/>
            <w:shd w:val="clear" w:color="auto" w:fill="auto"/>
            <w:hideMark/>
          </w:tcPr>
          <w:p w:rsidR="00585473" w:rsidRPr="00EB5084" w:rsidRDefault="00585473" w:rsidP="00EC3364">
            <w:pPr>
              <w:spacing w:before="40" w:after="40" w:line="240" w:lineRule="auto"/>
              <w:rPr>
                <w:rFonts w:ascii="Arial" w:hAnsi="Arial" w:cs="Arial"/>
              </w:rPr>
            </w:pPr>
            <w:r w:rsidRPr="00EB5084">
              <w:rPr>
                <w:rFonts w:ascii="Arial" w:hAnsi="Arial" w:cs="Arial"/>
              </w:rPr>
              <w:t xml:space="preserve">Financiar los gastos por servicios de pagos a jubilados y </w:t>
            </w:r>
            <w:proofErr w:type="spellStart"/>
            <w:r w:rsidRPr="00EB5084">
              <w:rPr>
                <w:rFonts w:ascii="Arial" w:hAnsi="Arial" w:cs="Arial"/>
              </w:rPr>
              <w:t>asistenciados</w:t>
            </w:r>
            <w:proofErr w:type="spellEnd"/>
            <w:r w:rsidRPr="00EB5084">
              <w:rPr>
                <w:rFonts w:ascii="Arial" w:hAnsi="Arial" w:cs="Arial"/>
              </w:rPr>
              <w:t xml:space="preserve"> de la Seguridad Social, Reforma Urbana y Riesgo Financiero. Mediante el importe a inscribir por este concepto, exponiendo la base de cálculo que lo sustenta y cualquier otra información que se considere válida para su aprobación.</w:t>
            </w:r>
          </w:p>
        </w:tc>
      </w:tr>
      <w:tr w:rsidR="00585473" w:rsidRPr="00EB5084" w:rsidTr="00EC3364">
        <w:tblPrEx>
          <w:jc w:val="left"/>
        </w:tblPrEx>
        <w:trPr>
          <w:trHeight w:val="900"/>
          <w:tblHeader/>
        </w:trPr>
        <w:tc>
          <w:tcPr>
            <w:tcW w:w="4111" w:type="dxa"/>
            <w:gridSpan w:val="2"/>
            <w:shd w:val="clear" w:color="auto" w:fill="auto"/>
            <w:hideMark/>
          </w:tcPr>
          <w:p w:rsidR="00585473" w:rsidRPr="00EB5084" w:rsidRDefault="00585473" w:rsidP="00EC3364">
            <w:pPr>
              <w:spacing w:before="40" w:after="40" w:line="240" w:lineRule="auto"/>
              <w:rPr>
                <w:rFonts w:ascii="Arial" w:hAnsi="Arial" w:cs="Arial"/>
              </w:rPr>
            </w:pPr>
            <w:r w:rsidRPr="00EB5084">
              <w:rPr>
                <w:rFonts w:ascii="Arial" w:hAnsi="Arial" w:cs="Arial"/>
              </w:rPr>
              <w:t>Asistencia Técnica CUBATECNICA</w:t>
            </w:r>
          </w:p>
        </w:tc>
        <w:tc>
          <w:tcPr>
            <w:tcW w:w="7052" w:type="dxa"/>
            <w:gridSpan w:val="2"/>
            <w:shd w:val="clear" w:color="auto" w:fill="auto"/>
            <w:hideMark/>
          </w:tcPr>
          <w:p w:rsidR="00585473" w:rsidRPr="00EB5084" w:rsidRDefault="00585473" w:rsidP="00EC3364">
            <w:pPr>
              <w:spacing w:before="40" w:after="40" w:line="240" w:lineRule="auto"/>
              <w:rPr>
                <w:rFonts w:ascii="Arial" w:hAnsi="Arial" w:cs="Arial"/>
              </w:rPr>
            </w:pPr>
            <w:r w:rsidRPr="00EB5084">
              <w:rPr>
                <w:rFonts w:ascii="Arial" w:hAnsi="Arial" w:cs="Arial"/>
              </w:rPr>
              <w:t>Financiar a CUBATECNICA los gastos que le genera la colaboración con aquellos países que por acuerdos de gobiernos es gratuita; entre estos gastos se encuentran el Impuesto por la Utilización de la Fuerza de Trabajo, la Contribución a la Seguridad Social, los gastos de traslados hasta que el personal llega a su lugar de destino, salario, vacaciones.</w:t>
            </w:r>
          </w:p>
        </w:tc>
      </w:tr>
      <w:tr w:rsidR="00585473" w:rsidRPr="00EB5084" w:rsidTr="00EC3364">
        <w:tblPrEx>
          <w:jc w:val="left"/>
        </w:tblPrEx>
        <w:trPr>
          <w:trHeight w:val="450"/>
          <w:tblHeader/>
        </w:trPr>
        <w:tc>
          <w:tcPr>
            <w:tcW w:w="4111" w:type="dxa"/>
            <w:gridSpan w:val="2"/>
            <w:shd w:val="clear" w:color="auto" w:fill="auto"/>
            <w:hideMark/>
          </w:tcPr>
          <w:p w:rsidR="00585473" w:rsidRPr="00EB5084" w:rsidRDefault="00585473" w:rsidP="00EC3364">
            <w:pPr>
              <w:spacing w:before="40" w:after="40" w:line="240" w:lineRule="auto"/>
              <w:rPr>
                <w:rFonts w:ascii="Arial" w:hAnsi="Arial" w:cs="Arial"/>
              </w:rPr>
            </w:pPr>
            <w:r w:rsidRPr="00EB5084">
              <w:rPr>
                <w:rFonts w:ascii="Arial" w:hAnsi="Arial" w:cs="Arial"/>
              </w:rPr>
              <w:t>Residencia uso restringido</w:t>
            </w:r>
          </w:p>
        </w:tc>
        <w:tc>
          <w:tcPr>
            <w:tcW w:w="7052" w:type="dxa"/>
            <w:gridSpan w:val="2"/>
            <w:shd w:val="clear" w:color="auto" w:fill="auto"/>
            <w:hideMark/>
          </w:tcPr>
          <w:p w:rsidR="00585473" w:rsidRPr="00EB5084" w:rsidRDefault="00585473" w:rsidP="00EC3364">
            <w:pPr>
              <w:spacing w:before="40" w:after="40" w:line="240" w:lineRule="auto"/>
              <w:rPr>
                <w:rFonts w:ascii="Arial" w:hAnsi="Arial" w:cs="Arial"/>
              </w:rPr>
            </w:pPr>
            <w:r w:rsidRPr="00EB5084">
              <w:rPr>
                <w:rFonts w:ascii="Arial" w:hAnsi="Arial" w:cs="Arial"/>
              </w:rPr>
              <w:t>Para cubrir parte de los gastos en que se incurre por la no comercialización permanente de residencias de interés estatal pertenecientes a la Empresa Servicios de Protocolo.</w:t>
            </w:r>
          </w:p>
        </w:tc>
      </w:tr>
      <w:tr w:rsidR="00585473" w:rsidRPr="00EB5084" w:rsidTr="00EC3364">
        <w:tblPrEx>
          <w:jc w:val="left"/>
        </w:tblPrEx>
        <w:trPr>
          <w:trHeight w:val="1125"/>
          <w:tblHeader/>
        </w:trPr>
        <w:tc>
          <w:tcPr>
            <w:tcW w:w="4111" w:type="dxa"/>
            <w:gridSpan w:val="2"/>
            <w:shd w:val="clear" w:color="auto" w:fill="auto"/>
            <w:hideMark/>
          </w:tcPr>
          <w:p w:rsidR="00585473" w:rsidRPr="00EB5084" w:rsidRDefault="00585473" w:rsidP="00EC3364">
            <w:pPr>
              <w:spacing w:before="40" w:after="40" w:line="240" w:lineRule="auto"/>
              <w:rPr>
                <w:rFonts w:ascii="Arial" w:hAnsi="Arial" w:cs="Arial"/>
              </w:rPr>
            </w:pPr>
            <w:r w:rsidRPr="00EB5084">
              <w:rPr>
                <w:rFonts w:ascii="Arial" w:hAnsi="Arial" w:cs="Arial"/>
              </w:rPr>
              <w:t>Pago de salario fuerza contratada inversión extranjera</w:t>
            </w:r>
          </w:p>
        </w:tc>
        <w:tc>
          <w:tcPr>
            <w:tcW w:w="7052" w:type="dxa"/>
            <w:gridSpan w:val="2"/>
            <w:shd w:val="clear" w:color="auto" w:fill="auto"/>
            <w:hideMark/>
          </w:tcPr>
          <w:p w:rsidR="00585473" w:rsidRPr="00EB5084" w:rsidRDefault="00585473" w:rsidP="00EC3364">
            <w:pPr>
              <w:spacing w:before="40" w:after="40" w:line="240" w:lineRule="auto"/>
              <w:rPr>
                <w:rFonts w:ascii="Arial" w:hAnsi="Arial" w:cs="Arial"/>
              </w:rPr>
            </w:pPr>
            <w:r w:rsidRPr="00EB5084">
              <w:rPr>
                <w:rFonts w:ascii="Arial" w:hAnsi="Arial" w:cs="Arial"/>
              </w:rPr>
              <w:t>Financiamiento que se entrega para el pago de salarios a la fuerza de trabajo contratada por las diferentes modalidades de la inversión extranjera, al considerar un peso cubano (CUP) por cada peso convertible (CUC) que ingrese para este destino a la cuenta de las entidades empleadoras, más el importe resultante de aplicarle a dicho monto el 12,5 % como Contribución a la Seguridad Social. La suma de ambos importes significa el máximo de recursos a recibir del Presupuesto del Estado.</w:t>
            </w:r>
          </w:p>
        </w:tc>
      </w:tr>
      <w:tr w:rsidR="00585473" w:rsidRPr="00EB5084" w:rsidTr="00EC3364">
        <w:tblPrEx>
          <w:jc w:val="left"/>
        </w:tblPrEx>
        <w:trPr>
          <w:trHeight w:val="675"/>
          <w:tblHeader/>
        </w:trPr>
        <w:tc>
          <w:tcPr>
            <w:tcW w:w="4111" w:type="dxa"/>
            <w:gridSpan w:val="2"/>
            <w:shd w:val="clear" w:color="auto" w:fill="auto"/>
            <w:hideMark/>
          </w:tcPr>
          <w:p w:rsidR="00585473" w:rsidRPr="00EB5084" w:rsidRDefault="00585473" w:rsidP="00EC3364">
            <w:pPr>
              <w:spacing w:before="40" w:after="40" w:line="240" w:lineRule="auto"/>
              <w:rPr>
                <w:rFonts w:ascii="Arial" w:hAnsi="Arial" w:cs="Arial"/>
              </w:rPr>
            </w:pPr>
            <w:r w:rsidRPr="00EB5084">
              <w:rPr>
                <w:rFonts w:ascii="Arial" w:hAnsi="Arial" w:cs="Arial"/>
              </w:rPr>
              <w:t>Pago de intereses bancarios</w:t>
            </w:r>
          </w:p>
        </w:tc>
        <w:tc>
          <w:tcPr>
            <w:tcW w:w="7052" w:type="dxa"/>
            <w:gridSpan w:val="2"/>
            <w:shd w:val="clear" w:color="auto" w:fill="auto"/>
            <w:hideMark/>
          </w:tcPr>
          <w:p w:rsidR="00585473" w:rsidRPr="00EB5084" w:rsidRDefault="00585473" w:rsidP="00EC3364">
            <w:pPr>
              <w:spacing w:before="40" w:after="40" w:line="240" w:lineRule="auto"/>
              <w:rPr>
                <w:rFonts w:ascii="Arial" w:hAnsi="Arial" w:cs="Arial"/>
              </w:rPr>
            </w:pPr>
            <w:r w:rsidRPr="00EB5084">
              <w:rPr>
                <w:rFonts w:ascii="Arial" w:hAnsi="Arial" w:cs="Arial"/>
              </w:rPr>
              <w:t>Financiamiento que se otorga para financiar los intereses bancarios por créditos otorgados a la población por: el programa energético, afectaciones por desastres y otros, que el Estado decide pagar un por ciento (%) de estos intereses para beneficiar a la población.</w:t>
            </w:r>
          </w:p>
        </w:tc>
      </w:tr>
      <w:tr w:rsidR="00585473" w:rsidRPr="00EB5084" w:rsidTr="00EC3364">
        <w:tblPrEx>
          <w:jc w:val="left"/>
        </w:tblPrEx>
        <w:trPr>
          <w:trHeight w:val="900"/>
          <w:tblHeader/>
        </w:trPr>
        <w:tc>
          <w:tcPr>
            <w:tcW w:w="4111" w:type="dxa"/>
            <w:gridSpan w:val="2"/>
            <w:shd w:val="clear" w:color="auto" w:fill="auto"/>
            <w:hideMark/>
          </w:tcPr>
          <w:p w:rsidR="00585473" w:rsidRPr="00EB5084" w:rsidRDefault="00585473" w:rsidP="00EC3364">
            <w:pPr>
              <w:spacing w:before="40" w:after="40" w:line="240" w:lineRule="auto"/>
              <w:rPr>
                <w:rFonts w:ascii="Arial" w:hAnsi="Arial" w:cs="Arial"/>
                <w:bCs/>
              </w:rPr>
            </w:pPr>
            <w:r w:rsidRPr="00EB5084">
              <w:rPr>
                <w:rFonts w:ascii="Arial" w:hAnsi="Arial" w:cs="Arial"/>
                <w:bCs/>
              </w:rPr>
              <w:t>INDER (COLABORACIÓN)</w:t>
            </w:r>
          </w:p>
        </w:tc>
        <w:tc>
          <w:tcPr>
            <w:tcW w:w="7052" w:type="dxa"/>
            <w:gridSpan w:val="2"/>
            <w:shd w:val="clear" w:color="auto" w:fill="auto"/>
            <w:hideMark/>
          </w:tcPr>
          <w:p w:rsidR="00585473" w:rsidRPr="00EB5084" w:rsidRDefault="00585473" w:rsidP="00EC3364">
            <w:pPr>
              <w:spacing w:before="40" w:after="40" w:line="240" w:lineRule="auto"/>
              <w:rPr>
                <w:rFonts w:ascii="Arial" w:hAnsi="Arial" w:cs="Arial"/>
              </w:rPr>
            </w:pPr>
            <w:r w:rsidRPr="00EB5084">
              <w:rPr>
                <w:rFonts w:ascii="Arial" w:hAnsi="Arial" w:cs="Arial"/>
              </w:rPr>
              <w:t>Financiar a CUBADEPORTES S.A. los gastos que le genera la colaboración con aquellos países que por acuerdos de gobiernos es gratuita; entre estos gastos se encuentran el Impuesto por la Utilización de la Fuerza de Trabajo, la Contribución a la Seguridad Social, los gastos de traslados hasta que el personal llega a su lugar de destino, salario y vacaciones.</w:t>
            </w:r>
          </w:p>
        </w:tc>
      </w:tr>
      <w:tr w:rsidR="00585473" w:rsidRPr="00EB5084" w:rsidTr="00EC3364">
        <w:tblPrEx>
          <w:jc w:val="left"/>
        </w:tblPrEx>
        <w:trPr>
          <w:trHeight w:val="570"/>
          <w:tblHeader/>
        </w:trPr>
        <w:tc>
          <w:tcPr>
            <w:tcW w:w="4111" w:type="dxa"/>
            <w:gridSpan w:val="2"/>
            <w:shd w:val="clear" w:color="auto" w:fill="auto"/>
            <w:hideMark/>
          </w:tcPr>
          <w:p w:rsidR="00585473" w:rsidRPr="00EB5084" w:rsidRDefault="00585473" w:rsidP="00EC3364">
            <w:pPr>
              <w:spacing w:before="40" w:after="40" w:line="240" w:lineRule="auto"/>
              <w:rPr>
                <w:rFonts w:ascii="Arial" w:hAnsi="Arial" w:cs="Arial"/>
              </w:rPr>
            </w:pPr>
            <w:r w:rsidRPr="00EB5084">
              <w:rPr>
                <w:rFonts w:ascii="Arial" w:hAnsi="Arial" w:cs="Arial"/>
              </w:rPr>
              <w:t>Fondo Financiero de Ciencia e Innovación FONCI</w:t>
            </w:r>
          </w:p>
        </w:tc>
        <w:tc>
          <w:tcPr>
            <w:tcW w:w="7052" w:type="dxa"/>
            <w:gridSpan w:val="2"/>
            <w:shd w:val="clear" w:color="auto" w:fill="auto"/>
            <w:hideMark/>
          </w:tcPr>
          <w:p w:rsidR="00585473" w:rsidRPr="00EB5084" w:rsidRDefault="00585473" w:rsidP="00EC3364">
            <w:pPr>
              <w:spacing w:before="40" w:after="40" w:line="240" w:lineRule="auto"/>
              <w:rPr>
                <w:rFonts w:ascii="Arial" w:hAnsi="Arial" w:cs="Arial"/>
              </w:rPr>
            </w:pPr>
            <w:r w:rsidRPr="00EB5084">
              <w:rPr>
                <w:rFonts w:ascii="Arial" w:hAnsi="Arial" w:cs="Arial"/>
              </w:rPr>
              <w:t>Financiamiento que se otorga para cubrir los gastos de proyectos y programas de interés, nacional, sectorial y territorial.</w:t>
            </w:r>
          </w:p>
        </w:tc>
      </w:tr>
      <w:tr w:rsidR="00585473" w:rsidRPr="00EB5084" w:rsidTr="00EC3364">
        <w:tblPrEx>
          <w:jc w:val="left"/>
        </w:tblPrEx>
        <w:trPr>
          <w:trHeight w:val="570"/>
          <w:tblHeader/>
        </w:trPr>
        <w:tc>
          <w:tcPr>
            <w:tcW w:w="4111" w:type="dxa"/>
            <w:gridSpan w:val="2"/>
            <w:shd w:val="clear" w:color="auto" w:fill="auto"/>
            <w:hideMark/>
          </w:tcPr>
          <w:p w:rsidR="00585473" w:rsidRPr="00EB5084" w:rsidRDefault="00585473" w:rsidP="00EC3364">
            <w:pPr>
              <w:spacing w:before="40" w:after="40" w:line="240" w:lineRule="auto"/>
              <w:rPr>
                <w:rFonts w:ascii="Arial" w:hAnsi="Arial" w:cs="Arial"/>
              </w:rPr>
            </w:pPr>
            <w:r w:rsidRPr="00EB5084">
              <w:rPr>
                <w:rFonts w:ascii="Arial" w:hAnsi="Arial" w:cs="Arial"/>
              </w:rPr>
              <w:t>Por crédito de T.V.- Chinos  (SUBVENCIÓN)</w:t>
            </w:r>
          </w:p>
        </w:tc>
        <w:tc>
          <w:tcPr>
            <w:tcW w:w="7052" w:type="dxa"/>
            <w:gridSpan w:val="2"/>
            <w:shd w:val="clear" w:color="auto" w:fill="auto"/>
            <w:hideMark/>
          </w:tcPr>
          <w:p w:rsidR="00585473" w:rsidRPr="00EB5084" w:rsidRDefault="00585473" w:rsidP="00EC3364">
            <w:pPr>
              <w:spacing w:before="40" w:after="40" w:line="240" w:lineRule="auto"/>
              <w:rPr>
                <w:rFonts w:ascii="Arial" w:hAnsi="Arial" w:cs="Arial"/>
              </w:rPr>
            </w:pPr>
            <w:r w:rsidRPr="00EB5084">
              <w:rPr>
                <w:rFonts w:ascii="Arial" w:hAnsi="Arial" w:cs="Arial"/>
              </w:rPr>
              <w:t> </w:t>
            </w:r>
          </w:p>
        </w:tc>
      </w:tr>
      <w:tr w:rsidR="00585473" w:rsidRPr="00EB5084" w:rsidTr="00EC3364">
        <w:tblPrEx>
          <w:jc w:val="left"/>
        </w:tblPrEx>
        <w:trPr>
          <w:trHeight w:val="397"/>
          <w:tblHeader/>
        </w:trPr>
        <w:tc>
          <w:tcPr>
            <w:tcW w:w="4111" w:type="dxa"/>
            <w:gridSpan w:val="2"/>
            <w:shd w:val="clear" w:color="auto" w:fill="auto"/>
            <w:hideMark/>
          </w:tcPr>
          <w:p w:rsidR="00585473" w:rsidRPr="00EB5084" w:rsidRDefault="00585473" w:rsidP="00EC3364">
            <w:pPr>
              <w:spacing w:before="40" w:after="40" w:line="240" w:lineRule="auto"/>
              <w:rPr>
                <w:rFonts w:ascii="Arial" w:hAnsi="Arial" w:cs="Arial"/>
              </w:rPr>
            </w:pPr>
            <w:r w:rsidRPr="00EB5084">
              <w:rPr>
                <w:rFonts w:ascii="Arial" w:hAnsi="Arial" w:cs="Arial"/>
              </w:rPr>
              <w:t>Por situaciones excepcionales (Resolución 271) (SUBVENCIÓN) Huracán Sandy</w:t>
            </w:r>
          </w:p>
        </w:tc>
        <w:tc>
          <w:tcPr>
            <w:tcW w:w="7052" w:type="dxa"/>
            <w:gridSpan w:val="2"/>
            <w:shd w:val="clear" w:color="auto" w:fill="auto"/>
            <w:hideMark/>
          </w:tcPr>
          <w:p w:rsidR="00585473" w:rsidRPr="00EB5084" w:rsidRDefault="00585473" w:rsidP="00EC3364">
            <w:pPr>
              <w:spacing w:before="40" w:after="40" w:line="240" w:lineRule="auto"/>
              <w:rPr>
                <w:rFonts w:ascii="Arial" w:hAnsi="Arial" w:cs="Arial"/>
              </w:rPr>
            </w:pPr>
            <w:r w:rsidRPr="00EB5084">
              <w:rPr>
                <w:rFonts w:ascii="Arial" w:hAnsi="Arial" w:cs="Arial"/>
              </w:rPr>
              <w:t> </w:t>
            </w:r>
          </w:p>
        </w:tc>
      </w:tr>
      <w:tr w:rsidR="00585473" w:rsidRPr="00EB5084" w:rsidTr="00EC3364">
        <w:tblPrEx>
          <w:jc w:val="left"/>
        </w:tblPrEx>
        <w:trPr>
          <w:trHeight w:val="913"/>
          <w:tblHeader/>
        </w:trPr>
        <w:tc>
          <w:tcPr>
            <w:tcW w:w="4111" w:type="dxa"/>
            <w:gridSpan w:val="2"/>
            <w:shd w:val="clear" w:color="auto" w:fill="auto"/>
            <w:hideMark/>
          </w:tcPr>
          <w:p w:rsidR="00585473" w:rsidRPr="00EB5084" w:rsidRDefault="00585473" w:rsidP="00EC3364">
            <w:pPr>
              <w:spacing w:before="40" w:after="40" w:line="240" w:lineRule="auto"/>
              <w:rPr>
                <w:rFonts w:ascii="Arial" w:hAnsi="Arial" w:cs="Arial"/>
              </w:rPr>
            </w:pPr>
            <w:r w:rsidRPr="00EB5084">
              <w:rPr>
                <w:rFonts w:ascii="Arial" w:hAnsi="Arial" w:cs="Arial"/>
              </w:rPr>
              <w:t xml:space="preserve">Por el Contrato préstamo de crédito No.16/2014 (Créditos  Sociales  asociados al Programa de la Revolución Energética (Diferencial de Tasa)) (Res. No. 142/2015) </w:t>
            </w:r>
          </w:p>
        </w:tc>
        <w:tc>
          <w:tcPr>
            <w:tcW w:w="7052" w:type="dxa"/>
            <w:gridSpan w:val="2"/>
            <w:shd w:val="clear" w:color="auto" w:fill="auto"/>
            <w:hideMark/>
          </w:tcPr>
          <w:p w:rsidR="00585473" w:rsidRPr="00EB5084" w:rsidRDefault="00585473" w:rsidP="00EC3364">
            <w:pPr>
              <w:spacing w:before="40" w:after="40" w:line="240" w:lineRule="auto"/>
              <w:rPr>
                <w:rFonts w:ascii="Arial" w:hAnsi="Arial" w:cs="Arial"/>
              </w:rPr>
            </w:pPr>
            <w:r w:rsidRPr="00EB5084">
              <w:rPr>
                <w:rFonts w:ascii="Arial" w:hAnsi="Arial" w:cs="Arial"/>
              </w:rPr>
              <w:t> </w:t>
            </w:r>
          </w:p>
        </w:tc>
      </w:tr>
      <w:tr w:rsidR="00585473" w:rsidRPr="00EB5084" w:rsidTr="00EC3364">
        <w:tblPrEx>
          <w:jc w:val="left"/>
        </w:tblPrEx>
        <w:trPr>
          <w:trHeight w:val="749"/>
          <w:tblHeader/>
        </w:trPr>
        <w:tc>
          <w:tcPr>
            <w:tcW w:w="4111" w:type="dxa"/>
            <w:gridSpan w:val="2"/>
            <w:shd w:val="clear" w:color="auto" w:fill="auto"/>
            <w:hideMark/>
          </w:tcPr>
          <w:p w:rsidR="00585473" w:rsidRPr="00EB5084" w:rsidRDefault="00585473" w:rsidP="00EC3364">
            <w:pPr>
              <w:spacing w:before="40" w:after="40" w:line="240" w:lineRule="auto"/>
              <w:rPr>
                <w:rFonts w:ascii="Arial" w:hAnsi="Arial" w:cs="Arial"/>
              </w:rPr>
            </w:pPr>
            <w:r w:rsidRPr="00EB5084">
              <w:rPr>
                <w:rFonts w:ascii="Arial" w:hAnsi="Arial" w:cs="Arial"/>
              </w:rPr>
              <w:t xml:space="preserve">Compensación de la Tasa de Cambio (Contrato de las CNA dedicado actividad de transporte) (Res. No. 142/2015) </w:t>
            </w:r>
          </w:p>
        </w:tc>
        <w:tc>
          <w:tcPr>
            <w:tcW w:w="7052" w:type="dxa"/>
            <w:gridSpan w:val="2"/>
            <w:shd w:val="clear" w:color="auto" w:fill="auto"/>
            <w:hideMark/>
          </w:tcPr>
          <w:p w:rsidR="00585473" w:rsidRPr="00EB5084" w:rsidRDefault="00585473" w:rsidP="00EC3364">
            <w:pPr>
              <w:spacing w:before="40" w:after="40" w:line="240" w:lineRule="auto"/>
              <w:rPr>
                <w:rFonts w:ascii="Arial" w:hAnsi="Arial" w:cs="Arial"/>
              </w:rPr>
            </w:pPr>
            <w:r w:rsidRPr="00EB5084">
              <w:rPr>
                <w:rFonts w:ascii="Arial" w:hAnsi="Arial" w:cs="Arial"/>
              </w:rPr>
              <w:t> </w:t>
            </w:r>
          </w:p>
        </w:tc>
      </w:tr>
      <w:tr w:rsidR="00585473" w:rsidRPr="00EB5084" w:rsidTr="00EC3364">
        <w:tblPrEx>
          <w:jc w:val="left"/>
        </w:tblPrEx>
        <w:trPr>
          <w:trHeight w:val="570"/>
          <w:tblHeader/>
        </w:trPr>
        <w:tc>
          <w:tcPr>
            <w:tcW w:w="4111" w:type="dxa"/>
            <w:gridSpan w:val="2"/>
            <w:shd w:val="clear" w:color="auto" w:fill="auto"/>
            <w:hideMark/>
          </w:tcPr>
          <w:p w:rsidR="00585473" w:rsidRPr="00EB5084" w:rsidRDefault="00585473" w:rsidP="00EC3364">
            <w:pPr>
              <w:spacing w:before="40" w:after="40" w:line="240" w:lineRule="auto"/>
              <w:rPr>
                <w:rFonts w:ascii="Arial" w:hAnsi="Arial" w:cs="Arial"/>
              </w:rPr>
            </w:pPr>
            <w:r w:rsidRPr="00EB5084">
              <w:rPr>
                <w:rFonts w:ascii="Arial" w:hAnsi="Arial" w:cs="Arial"/>
              </w:rPr>
              <w:lastRenderedPageBreak/>
              <w:t>Prima de Seguro e Interés (Sector Agropecuario)</w:t>
            </w:r>
          </w:p>
        </w:tc>
        <w:tc>
          <w:tcPr>
            <w:tcW w:w="7052" w:type="dxa"/>
            <w:gridSpan w:val="2"/>
            <w:shd w:val="clear" w:color="auto" w:fill="auto"/>
            <w:hideMark/>
          </w:tcPr>
          <w:p w:rsidR="00585473" w:rsidRPr="00EB5084" w:rsidRDefault="00585473" w:rsidP="00EC3364">
            <w:pPr>
              <w:spacing w:before="40" w:after="40" w:line="240" w:lineRule="auto"/>
              <w:rPr>
                <w:rFonts w:ascii="Arial" w:hAnsi="Arial" w:cs="Arial"/>
              </w:rPr>
            </w:pPr>
            <w:r w:rsidRPr="00EB5084">
              <w:rPr>
                <w:rFonts w:ascii="Arial" w:hAnsi="Arial" w:cs="Arial"/>
              </w:rPr>
              <w:t> </w:t>
            </w:r>
          </w:p>
        </w:tc>
      </w:tr>
      <w:tr w:rsidR="00585473" w:rsidRPr="00EB5084" w:rsidTr="00EC3364">
        <w:tblPrEx>
          <w:jc w:val="left"/>
        </w:tblPrEx>
        <w:trPr>
          <w:trHeight w:val="60"/>
          <w:tblHeader/>
        </w:trPr>
        <w:tc>
          <w:tcPr>
            <w:tcW w:w="4111" w:type="dxa"/>
            <w:gridSpan w:val="2"/>
            <w:shd w:val="clear" w:color="auto" w:fill="auto"/>
            <w:hideMark/>
          </w:tcPr>
          <w:p w:rsidR="00585473" w:rsidRPr="00EB5084" w:rsidRDefault="00585473" w:rsidP="00EC3364">
            <w:pPr>
              <w:spacing w:before="40" w:after="40" w:line="240" w:lineRule="auto"/>
              <w:rPr>
                <w:rFonts w:ascii="Arial" w:hAnsi="Arial" w:cs="Arial"/>
              </w:rPr>
            </w:pPr>
            <w:r w:rsidRPr="00EB5084">
              <w:rPr>
                <w:rFonts w:ascii="Arial" w:hAnsi="Arial" w:cs="Arial"/>
              </w:rPr>
              <w:t>Estimulación a Colaboradores (30%) (Res. No.142/2015)</w:t>
            </w:r>
          </w:p>
        </w:tc>
        <w:tc>
          <w:tcPr>
            <w:tcW w:w="7052" w:type="dxa"/>
            <w:gridSpan w:val="2"/>
            <w:shd w:val="clear" w:color="auto" w:fill="auto"/>
            <w:hideMark/>
          </w:tcPr>
          <w:p w:rsidR="00585473" w:rsidRPr="00EB5084" w:rsidRDefault="00585473" w:rsidP="00EC3364">
            <w:pPr>
              <w:spacing w:before="40" w:after="40" w:line="240" w:lineRule="auto"/>
              <w:rPr>
                <w:rFonts w:ascii="Arial" w:hAnsi="Arial" w:cs="Arial"/>
              </w:rPr>
            </w:pPr>
            <w:r w:rsidRPr="00EB5084">
              <w:rPr>
                <w:rFonts w:ascii="Arial" w:hAnsi="Arial" w:cs="Arial"/>
              </w:rPr>
              <w:t> </w:t>
            </w:r>
          </w:p>
        </w:tc>
      </w:tr>
      <w:tr w:rsidR="00585473" w:rsidRPr="00EB5084" w:rsidTr="00EC3364">
        <w:tblPrEx>
          <w:jc w:val="left"/>
        </w:tblPrEx>
        <w:trPr>
          <w:trHeight w:val="570"/>
          <w:tblHeader/>
        </w:trPr>
        <w:tc>
          <w:tcPr>
            <w:tcW w:w="4111" w:type="dxa"/>
            <w:gridSpan w:val="2"/>
            <w:shd w:val="clear" w:color="auto" w:fill="auto"/>
            <w:hideMark/>
          </w:tcPr>
          <w:p w:rsidR="00585473" w:rsidRPr="00EB5084" w:rsidRDefault="00585473" w:rsidP="00EC3364">
            <w:pPr>
              <w:spacing w:before="40" w:after="40" w:line="240" w:lineRule="auto"/>
              <w:rPr>
                <w:rFonts w:ascii="Arial" w:hAnsi="Arial" w:cs="Arial"/>
              </w:rPr>
            </w:pPr>
            <w:r w:rsidRPr="00EB5084">
              <w:rPr>
                <w:rFonts w:ascii="Arial" w:hAnsi="Arial" w:cs="Arial"/>
              </w:rPr>
              <w:t>Por deuda irrecuperable del Programa Energético</w:t>
            </w:r>
          </w:p>
        </w:tc>
        <w:tc>
          <w:tcPr>
            <w:tcW w:w="7052" w:type="dxa"/>
            <w:gridSpan w:val="2"/>
            <w:shd w:val="clear" w:color="auto" w:fill="auto"/>
            <w:hideMark/>
          </w:tcPr>
          <w:p w:rsidR="00585473" w:rsidRPr="00EB5084" w:rsidRDefault="00585473" w:rsidP="00EC3364">
            <w:pPr>
              <w:spacing w:before="40" w:after="40" w:line="240" w:lineRule="auto"/>
              <w:rPr>
                <w:rFonts w:ascii="Arial" w:hAnsi="Arial" w:cs="Arial"/>
              </w:rPr>
            </w:pPr>
            <w:r w:rsidRPr="00EB5084">
              <w:rPr>
                <w:rFonts w:ascii="Arial" w:hAnsi="Arial" w:cs="Arial"/>
              </w:rPr>
              <w:t> </w:t>
            </w:r>
          </w:p>
        </w:tc>
      </w:tr>
      <w:tr w:rsidR="00585473" w:rsidRPr="00EB5084" w:rsidTr="00EC3364">
        <w:tblPrEx>
          <w:jc w:val="left"/>
        </w:tblPrEx>
        <w:trPr>
          <w:trHeight w:val="855"/>
          <w:tblHeader/>
        </w:trPr>
        <w:tc>
          <w:tcPr>
            <w:tcW w:w="4111" w:type="dxa"/>
            <w:gridSpan w:val="2"/>
            <w:shd w:val="clear" w:color="auto" w:fill="auto"/>
            <w:hideMark/>
          </w:tcPr>
          <w:p w:rsidR="00585473" w:rsidRPr="00EB5084" w:rsidRDefault="00585473" w:rsidP="00EC3364">
            <w:pPr>
              <w:spacing w:before="40" w:after="40" w:line="240" w:lineRule="auto"/>
              <w:rPr>
                <w:rFonts w:ascii="Arial" w:hAnsi="Arial" w:cs="Arial"/>
              </w:rPr>
            </w:pPr>
            <w:r w:rsidRPr="00EB5084">
              <w:rPr>
                <w:rFonts w:ascii="Arial" w:hAnsi="Arial" w:cs="Arial"/>
              </w:rPr>
              <w:t>Amortización derivada del Contrato de Préstamo de Crédito No. 16/2014</w:t>
            </w:r>
          </w:p>
        </w:tc>
        <w:tc>
          <w:tcPr>
            <w:tcW w:w="7052" w:type="dxa"/>
            <w:gridSpan w:val="2"/>
            <w:shd w:val="clear" w:color="auto" w:fill="auto"/>
            <w:hideMark/>
          </w:tcPr>
          <w:p w:rsidR="00585473" w:rsidRPr="00EB5084" w:rsidRDefault="00585473" w:rsidP="00EC3364">
            <w:pPr>
              <w:spacing w:before="40" w:after="40" w:line="240" w:lineRule="auto"/>
              <w:rPr>
                <w:rFonts w:ascii="Arial" w:hAnsi="Arial" w:cs="Arial"/>
              </w:rPr>
            </w:pPr>
            <w:r w:rsidRPr="00EB5084">
              <w:rPr>
                <w:rFonts w:ascii="Arial" w:hAnsi="Arial" w:cs="Arial"/>
              </w:rPr>
              <w:t> </w:t>
            </w:r>
          </w:p>
        </w:tc>
      </w:tr>
      <w:tr w:rsidR="00585473" w:rsidRPr="00EB5084" w:rsidTr="00EC3364">
        <w:tblPrEx>
          <w:jc w:val="left"/>
        </w:tblPrEx>
        <w:trPr>
          <w:trHeight w:val="300"/>
          <w:tblHeader/>
        </w:trPr>
        <w:tc>
          <w:tcPr>
            <w:tcW w:w="4111" w:type="dxa"/>
            <w:gridSpan w:val="2"/>
            <w:shd w:val="clear" w:color="auto" w:fill="auto"/>
            <w:hideMark/>
          </w:tcPr>
          <w:p w:rsidR="00585473" w:rsidRPr="00EB5084" w:rsidRDefault="00585473" w:rsidP="00EC3364">
            <w:pPr>
              <w:spacing w:before="40" w:after="40" w:line="240" w:lineRule="auto"/>
              <w:rPr>
                <w:rFonts w:ascii="Arial" w:hAnsi="Arial" w:cs="Arial"/>
                <w:bCs/>
              </w:rPr>
            </w:pPr>
            <w:r w:rsidRPr="00EB5084">
              <w:rPr>
                <w:rFonts w:ascii="Arial" w:hAnsi="Arial" w:cs="Arial"/>
                <w:bCs/>
              </w:rPr>
              <w:t>Contribución Territorial</w:t>
            </w:r>
          </w:p>
        </w:tc>
        <w:tc>
          <w:tcPr>
            <w:tcW w:w="7052" w:type="dxa"/>
            <w:gridSpan w:val="2"/>
            <w:shd w:val="clear" w:color="auto" w:fill="auto"/>
            <w:hideMark/>
          </w:tcPr>
          <w:p w:rsidR="00585473" w:rsidRPr="00EB5084" w:rsidRDefault="00585473" w:rsidP="00EC3364">
            <w:pPr>
              <w:spacing w:before="40" w:after="40" w:line="240" w:lineRule="auto"/>
              <w:rPr>
                <w:rFonts w:ascii="Arial" w:hAnsi="Arial" w:cs="Arial"/>
              </w:rPr>
            </w:pPr>
            <w:r w:rsidRPr="00EB5084">
              <w:rPr>
                <w:rFonts w:ascii="Arial" w:hAnsi="Arial" w:cs="Arial"/>
              </w:rPr>
              <w:t> </w:t>
            </w:r>
          </w:p>
        </w:tc>
      </w:tr>
      <w:tr w:rsidR="00585473" w:rsidRPr="00EB5084" w:rsidTr="00EC3364">
        <w:tblPrEx>
          <w:jc w:val="left"/>
        </w:tblPrEx>
        <w:trPr>
          <w:trHeight w:val="900"/>
          <w:tblHeader/>
        </w:trPr>
        <w:tc>
          <w:tcPr>
            <w:tcW w:w="4111" w:type="dxa"/>
            <w:gridSpan w:val="2"/>
            <w:shd w:val="clear" w:color="auto" w:fill="auto"/>
            <w:hideMark/>
          </w:tcPr>
          <w:p w:rsidR="00585473" w:rsidRPr="00EB5084" w:rsidRDefault="00585473" w:rsidP="00EC3364">
            <w:pPr>
              <w:spacing w:before="40" w:after="40" w:line="240" w:lineRule="auto"/>
              <w:rPr>
                <w:rFonts w:ascii="Arial" w:hAnsi="Arial" w:cs="Arial"/>
              </w:rPr>
            </w:pPr>
            <w:r w:rsidRPr="00EB5084">
              <w:rPr>
                <w:rFonts w:ascii="Arial" w:hAnsi="Arial" w:cs="Arial"/>
              </w:rPr>
              <w:t>Programas Sociales</w:t>
            </w:r>
          </w:p>
        </w:tc>
        <w:tc>
          <w:tcPr>
            <w:tcW w:w="7052" w:type="dxa"/>
            <w:gridSpan w:val="2"/>
            <w:shd w:val="clear" w:color="auto" w:fill="auto"/>
            <w:hideMark/>
          </w:tcPr>
          <w:p w:rsidR="00585473" w:rsidRPr="00EB5084" w:rsidRDefault="00585473" w:rsidP="00EC3364">
            <w:pPr>
              <w:spacing w:before="40" w:after="40" w:line="240" w:lineRule="auto"/>
              <w:rPr>
                <w:rFonts w:ascii="Arial" w:hAnsi="Arial" w:cs="Arial"/>
              </w:rPr>
            </w:pPr>
            <w:r w:rsidRPr="00EB5084">
              <w:rPr>
                <w:rFonts w:ascii="Arial" w:hAnsi="Arial" w:cs="Arial"/>
              </w:rPr>
              <w:t>Financiamiento que se entrega a las empresas locales de Comercio por los gastos que le generan la prestación de bienes y servicios a las personas naturales beneficiadas por los programas sociales (niños de bajo peso, enfermos encamados, pacientes con el VIH, donantes de plasma y cualquier otro autorizado por las autoridades competentes.</w:t>
            </w:r>
          </w:p>
        </w:tc>
      </w:tr>
      <w:tr w:rsidR="00585473" w:rsidRPr="00EB5084" w:rsidTr="00EC3364">
        <w:tblPrEx>
          <w:jc w:val="left"/>
        </w:tblPrEx>
        <w:trPr>
          <w:trHeight w:val="450"/>
          <w:tblHeader/>
        </w:trPr>
        <w:tc>
          <w:tcPr>
            <w:tcW w:w="4111" w:type="dxa"/>
            <w:gridSpan w:val="2"/>
            <w:shd w:val="clear" w:color="auto" w:fill="auto"/>
            <w:hideMark/>
          </w:tcPr>
          <w:p w:rsidR="00585473" w:rsidRPr="00EB5084" w:rsidRDefault="00585473" w:rsidP="00EC3364">
            <w:pPr>
              <w:spacing w:before="40" w:after="40" w:line="240" w:lineRule="auto"/>
              <w:rPr>
                <w:rFonts w:ascii="Arial" w:hAnsi="Arial" w:cs="Arial"/>
              </w:rPr>
            </w:pPr>
            <w:r w:rsidRPr="00EB5084">
              <w:rPr>
                <w:rFonts w:ascii="Arial" w:hAnsi="Arial" w:cs="Arial"/>
              </w:rPr>
              <w:t>Prima Salarial Caimanera</w:t>
            </w:r>
          </w:p>
        </w:tc>
        <w:tc>
          <w:tcPr>
            <w:tcW w:w="7052" w:type="dxa"/>
            <w:gridSpan w:val="2"/>
            <w:shd w:val="clear" w:color="auto" w:fill="auto"/>
            <w:hideMark/>
          </w:tcPr>
          <w:p w:rsidR="00585473" w:rsidRPr="00EB5084" w:rsidRDefault="00585473" w:rsidP="00EC3364">
            <w:pPr>
              <w:spacing w:before="40" w:after="40" w:line="240" w:lineRule="auto"/>
              <w:rPr>
                <w:rFonts w:ascii="Arial" w:hAnsi="Arial" w:cs="Arial"/>
              </w:rPr>
            </w:pPr>
            <w:r w:rsidRPr="00EB5084">
              <w:rPr>
                <w:rFonts w:ascii="Arial" w:hAnsi="Arial" w:cs="Arial"/>
              </w:rPr>
              <w:t>Financiar los gastos que tienen las entidades económicas al asumir el pago adicional del treinta por ciento (30%) del salario que devengan los trabajadores que trabajan en ese municipio.</w:t>
            </w:r>
          </w:p>
        </w:tc>
      </w:tr>
      <w:tr w:rsidR="00585473" w:rsidRPr="00EB5084" w:rsidTr="00EC3364">
        <w:tblPrEx>
          <w:jc w:val="left"/>
        </w:tblPrEx>
        <w:trPr>
          <w:trHeight w:val="285"/>
          <w:tblHeader/>
        </w:trPr>
        <w:tc>
          <w:tcPr>
            <w:tcW w:w="4111" w:type="dxa"/>
            <w:gridSpan w:val="2"/>
            <w:shd w:val="clear" w:color="auto" w:fill="auto"/>
            <w:noWrap/>
            <w:hideMark/>
          </w:tcPr>
          <w:p w:rsidR="00585473" w:rsidRPr="00EB5084" w:rsidRDefault="00585473" w:rsidP="00EC3364">
            <w:pPr>
              <w:spacing w:before="40" w:after="40" w:line="240" w:lineRule="auto"/>
              <w:rPr>
                <w:rFonts w:ascii="Arial" w:hAnsi="Arial" w:cs="Arial"/>
              </w:rPr>
            </w:pPr>
            <w:r w:rsidRPr="00EB5084">
              <w:rPr>
                <w:rFonts w:ascii="Arial" w:hAnsi="Arial" w:cs="Arial"/>
              </w:rPr>
              <w:t>Ventas a TRD</w:t>
            </w:r>
          </w:p>
        </w:tc>
        <w:tc>
          <w:tcPr>
            <w:tcW w:w="7052" w:type="dxa"/>
            <w:gridSpan w:val="2"/>
            <w:shd w:val="clear" w:color="auto" w:fill="auto"/>
            <w:noWrap/>
            <w:hideMark/>
          </w:tcPr>
          <w:p w:rsidR="00585473" w:rsidRPr="00EB5084" w:rsidRDefault="00585473" w:rsidP="00EC3364">
            <w:pPr>
              <w:spacing w:before="40" w:after="40" w:line="240" w:lineRule="auto"/>
              <w:rPr>
                <w:rFonts w:ascii="Arial" w:hAnsi="Arial" w:cs="Arial"/>
              </w:rPr>
            </w:pPr>
            <w:r w:rsidRPr="00EB5084">
              <w:rPr>
                <w:rFonts w:ascii="Arial" w:hAnsi="Arial" w:cs="Arial"/>
              </w:rPr>
              <w:t> </w:t>
            </w:r>
          </w:p>
        </w:tc>
      </w:tr>
    </w:tbl>
    <w:p w:rsidR="00585473" w:rsidRPr="00EB5084" w:rsidRDefault="00585473" w:rsidP="005F2C90">
      <w:pPr>
        <w:spacing w:after="240" w:line="240" w:lineRule="auto"/>
        <w:jc w:val="both"/>
        <w:rPr>
          <w:rFonts w:ascii="Arial" w:hAnsi="Arial" w:cs="Arial"/>
        </w:rPr>
      </w:pPr>
    </w:p>
    <w:sectPr w:rsidR="00585473" w:rsidRPr="00EB5084" w:rsidSect="005F2C90">
      <w:footerReference w:type="default" r:id="rId10"/>
      <w:type w:val="continuous"/>
      <w:pgSz w:w="12240" w:h="15840" w:code="1"/>
      <w:pgMar w:top="1134" w:right="1134" w:bottom="1134" w:left="1134"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81A48" w:rsidRDefault="00A81A48" w:rsidP="00721C1A">
      <w:pPr>
        <w:spacing w:after="0" w:line="240" w:lineRule="auto"/>
      </w:pPr>
      <w:r>
        <w:separator/>
      </w:r>
    </w:p>
  </w:endnote>
  <w:endnote w:type="continuationSeparator" w:id="0">
    <w:p w:rsidR="00A81A48" w:rsidRDefault="00A81A48" w:rsidP="00721C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YCTND Q+ Myriad Pro">
    <w:altName w:val="Myriad Pro"/>
    <w:panose1 w:val="00000000000000000000"/>
    <w:charset w:val="00"/>
    <w:family w:val="swiss"/>
    <w:notTrueType/>
    <w:pitch w:val="default"/>
    <w:sig w:usb0="00000003" w:usb1="00000000" w:usb2="00000000" w:usb3="00000000" w:csb0="00000001" w:csb1="00000000"/>
  </w:font>
  <w:font w:name="QCFWB R+ Myriad Pro">
    <w:altName w:val="Myriad Pro"/>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77571069"/>
      <w:docPartObj>
        <w:docPartGallery w:val="Page Numbers (Bottom of Page)"/>
        <w:docPartUnique/>
      </w:docPartObj>
    </w:sdtPr>
    <w:sdtEndPr/>
    <w:sdtContent>
      <w:p w:rsidR="00721C1A" w:rsidRDefault="00867EFB">
        <w:pPr>
          <w:pStyle w:val="Piedepgina"/>
          <w:jc w:val="right"/>
        </w:pPr>
        <w:r>
          <w:fldChar w:fldCharType="begin"/>
        </w:r>
        <w:r w:rsidR="00721C1A">
          <w:instrText>PAGE   \* MERGEFORMAT</w:instrText>
        </w:r>
        <w:r>
          <w:fldChar w:fldCharType="separate"/>
        </w:r>
        <w:r w:rsidR="0008398E">
          <w:rPr>
            <w:noProof/>
          </w:rPr>
          <w:t>5</w:t>
        </w:r>
        <w:r>
          <w:fldChar w:fldCharType="end"/>
        </w:r>
      </w:p>
    </w:sdtContent>
  </w:sdt>
  <w:p w:rsidR="00721C1A" w:rsidRPr="00721C1A" w:rsidRDefault="008076DF" w:rsidP="00721C1A">
    <w:pPr>
      <w:pStyle w:val="Piedepgina"/>
      <w:jc w:val="center"/>
      <w:rPr>
        <w:rFonts w:ascii="Arial" w:hAnsi="Arial" w:cs="Arial"/>
        <w:sz w:val="20"/>
        <w:szCs w:val="20"/>
      </w:rPr>
    </w:pPr>
    <w:r>
      <w:rPr>
        <w:rFonts w:ascii="Arial" w:hAnsi="Arial" w:cs="Arial"/>
        <w:sz w:val="20"/>
        <w:szCs w:val="20"/>
      </w:rPr>
      <w:t xml:space="preserve">Formulario </w:t>
    </w:r>
    <w:r w:rsidR="000963B3">
      <w:rPr>
        <w:rFonts w:ascii="Arial" w:hAnsi="Arial" w:cs="Arial"/>
        <w:sz w:val="20"/>
        <w:szCs w:val="20"/>
      </w:rPr>
      <w:t>T 12</w:t>
    </w:r>
    <w:r w:rsidR="00721C1A" w:rsidRPr="00721C1A">
      <w:rPr>
        <w:rFonts w:ascii="Arial" w:hAnsi="Arial" w:cs="Arial"/>
        <w:sz w:val="20"/>
        <w:szCs w:val="20"/>
      </w:rPr>
      <w:t>-00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81A48" w:rsidRDefault="00A81A48" w:rsidP="00721C1A">
      <w:pPr>
        <w:spacing w:after="0" w:line="240" w:lineRule="auto"/>
      </w:pPr>
      <w:r>
        <w:separator/>
      </w:r>
    </w:p>
  </w:footnote>
  <w:footnote w:type="continuationSeparator" w:id="0">
    <w:p w:rsidR="00A81A48" w:rsidRDefault="00A81A48" w:rsidP="00721C1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3BCC31D8"/>
    <w:multiLevelType w:val="hybridMultilevel"/>
    <w:tmpl w:val="0BF2BF76"/>
    <w:lvl w:ilvl="0" w:tplc="A85A1C36">
      <w:start w:val="1"/>
      <w:numFmt w:val="bullet"/>
      <w:lvlText w:val=""/>
      <w:lvlJc w:val="left"/>
      <w:pPr>
        <w:ind w:left="720" w:hanging="360"/>
      </w:pPr>
      <w:rPr>
        <w:rFonts w:ascii="Symbol" w:hAnsi="Symbol" w:hint="default"/>
        <w:b w:val="0"/>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2">
    <w:nsid w:val="40460604"/>
    <w:multiLevelType w:val="hybridMultilevel"/>
    <w:tmpl w:val="59C6528C"/>
    <w:lvl w:ilvl="0" w:tplc="7D30003C">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nsid w:val="47D752E2"/>
    <w:multiLevelType w:val="singleLevel"/>
    <w:tmpl w:val="B88AF59C"/>
    <w:lvl w:ilvl="0">
      <w:start w:val="2"/>
      <w:numFmt w:val="upperRoman"/>
      <w:lvlText w:val="%1."/>
      <w:legacy w:legacy="1" w:legacySpace="0" w:legacyIndent="283"/>
      <w:lvlJc w:val="left"/>
      <w:pPr>
        <w:ind w:left="283" w:hanging="283"/>
      </w:pPr>
    </w:lvl>
  </w:abstractNum>
  <w:abstractNum w:abstractNumId="4">
    <w:nsid w:val="4F09421C"/>
    <w:multiLevelType w:val="hybridMultilevel"/>
    <w:tmpl w:val="0F66FAE0"/>
    <w:lvl w:ilvl="0" w:tplc="20523C2C">
      <w:start w:val="1"/>
      <w:numFmt w:val="bullet"/>
      <w:lvlText w:val=""/>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nsid w:val="5FD947C9"/>
    <w:multiLevelType w:val="hybridMultilevel"/>
    <w:tmpl w:val="6F70B9D6"/>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nsid w:val="623D043A"/>
    <w:multiLevelType w:val="singleLevel"/>
    <w:tmpl w:val="BC8CBDD8"/>
    <w:lvl w:ilvl="0">
      <w:start w:val="1"/>
      <w:numFmt w:val="upperRoman"/>
      <w:lvlText w:val="%1."/>
      <w:legacy w:legacy="1" w:legacySpace="0" w:legacyIndent="283"/>
      <w:lvlJc w:val="left"/>
      <w:pPr>
        <w:ind w:left="283" w:hanging="283"/>
      </w:pPr>
    </w:lvl>
  </w:abstractNum>
  <w:num w:numId="1">
    <w:abstractNumId w:val="6"/>
  </w:num>
  <w:num w:numId="2">
    <w:abstractNumId w:val="3"/>
  </w:num>
  <w:num w:numId="3">
    <w:abstractNumId w:val="0"/>
    <w:lvlOverride w:ilvl="0">
      <w:lvl w:ilvl="0">
        <w:start w:val="1"/>
        <w:numFmt w:val="bullet"/>
        <w:lvlText w:val=""/>
        <w:legacy w:legacy="1" w:legacySpace="0" w:legacyIndent="360"/>
        <w:lvlJc w:val="left"/>
        <w:pPr>
          <w:ind w:left="3187" w:hanging="360"/>
        </w:pPr>
        <w:rPr>
          <w:rFonts w:ascii="Symbol" w:hAnsi="Symbol" w:hint="default"/>
        </w:rPr>
      </w:lvl>
    </w:lvlOverride>
  </w:num>
  <w:num w:numId="4">
    <w:abstractNumId w:val="0"/>
    <w:lvlOverride w:ilvl="0">
      <w:lvl w:ilvl="0">
        <w:start w:val="1"/>
        <w:numFmt w:val="bullet"/>
        <w:lvlText w:val=""/>
        <w:legacy w:legacy="1" w:legacySpace="0" w:legacyIndent="283"/>
        <w:lvlJc w:val="left"/>
        <w:pPr>
          <w:ind w:left="1093" w:hanging="283"/>
        </w:pPr>
        <w:rPr>
          <w:rFonts w:ascii="Symbol" w:hAnsi="Symbol" w:hint="default"/>
        </w:rPr>
      </w:lvl>
    </w:lvlOverride>
  </w:num>
  <w:num w:numId="5">
    <w:abstractNumId w:val="2"/>
  </w:num>
  <w:num w:numId="6">
    <w:abstractNumId w:val="1"/>
  </w:num>
  <w:num w:numId="7">
    <w:abstractNumId w:val="5"/>
  </w:num>
  <w:num w:numId="8">
    <w:abstractNumId w:val="4"/>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6"/>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210C"/>
    <w:rsid w:val="000032C8"/>
    <w:rsid w:val="00004FEC"/>
    <w:rsid w:val="00022CFD"/>
    <w:rsid w:val="00024C3F"/>
    <w:rsid w:val="000274F3"/>
    <w:rsid w:val="00027872"/>
    <w:rsid w:val="000302CF"/>
    <w:rsid w:val="00040A74"/>
    <w:rsid w:val="00043E41"/>
    <w:rsid w:val="00046621"/>
    <w:rsid w:val="00052176"/>
    <w:rsid w:val="00052E4F"/>
    <w:rsid w:val="00053C8D"/>
    <w:rsid w:val="000618B8"/>
    <w:rsid w:val="00063948"/>
    <w:rsid w:val="000751EE"/>
    <w:rsid w:val="0008398E"/>
    <w:rsid w:val="00090105"/>
    <w:rsid w:val="00090189"/>
    <w:rsid w:val="00091986"/>
    <w:rsid w:val="000963B3"/>
    <w:rsid w:val="00097CC7"/>
    <w:rsid w:val="000B2F57"/>
    <w:rsid w:val="000E13E6"/>
    <w:rsid w:val="000E1589"/>
    <w:rsid w:val="000F1B62"/>
    <w:rsid w:val="000F2361"/>
    <w:rsid w:val="000F6083"/>
    <w:rsid w:val="00103651"/>
    <w:rsid w:val="001305D7"/>
    <w:rsid w:val="00133B8E"/>
    <w:rsid w:val="00136E03"/>
    <w:rsid w:val="00142AB3"/>
    <w:rsid w:val="00143D93"/>
    <w:rsid w:val="001440F5"/>
    <w:rsid w:val="0014505A"/>
    <w:rsid w:val="00155B1A"/>
    <w:rsid w:val="00155DC1"/>
    <w:rsid w:val="00157CB5"/>
    <w:rsid w:val="0016358A"/>
    <w:rsid w:val="00164357"/>
    <w:rsid w:val="00165C9A"/>
    <w:rsid w:val="00173F53"/>
    <w:rsid w:val="00174981"/>
    <w:rsid w:val="00180A87"/>
    <w:rsid w:val="0018521E"/>
    <w:rsid w:val="00187E41"/>
    <w:rsid w:val="00195A26"/>
    <w:rsid w:val="001A51E3"/>
    <w:rsid w:val="001B01F3"/>
    <w:rsid w:val="001B60FB"/>
    <w:rsid w:val="001D6DB1"/>
    <w:rsid w:val="001E549D"/>
    <w:rsid w:val="001E54FE"/>
    <w:rsid w:val="001F2718"/>
    <w:rsid w:val="001F342C"/>
    <w:rsid w:val="001F3BB2"/>
    <w:rsid w:val="00201D36"/>
    <w:rsid w:val="00202EC4"/>
    <w:rsid w:val="002039E4"/>
    <w:rsid w:val="00203A90"/>
    <w:rsid w:val="00203B0B"/>
    <w:rsid w:val="002155B9"/>
    <w:rsid w:val="00223498"/>
    <w:rsid w:val="002255D3"/>
    <w:rsid w:val="00226DA4"/>
    <w:rsid w:val="00240E9E"/>
    <w:rsid w:val="00242242"/>
    <w:rsid w:val="00242993"/>
    <w:rsid w:val="002506C9"/>
    <w:rsid w:val="00255D60"/>
    <w:rsid w:val="002661A1"/>
    <w:rsid w:val="00267A38"/>
    <w:rsid w:val="00271109"/>
    <w:rsid w:val="00274433"/>
    <w:rsid w:val="00275503"/>
    <w:rsid w:val="002757E1"/>
    <w:rsid w:val="00281683"/>
    <w:rsid w:val="00281FB6"/>
    <w:rsid w:val="0028462D"/>
    <w:rsid w:val="002903B3"/>
    <w:rsid w:val="00290D2D"/>
    <w:rsid w:val="002952BC"/>
    <w:rsid w:val="00295847"/>
    <w:rsid w:val="00295F38"/>
    <w:rsid w:val="002B17F7"/>
    <w:rsid w:val="002B7060"/>
    <w:rsid w:val="002C01C8"/>
    <w:rsid w:val="002C1C53"/>
    <w:rsid w:val="002D21CE"/>
    <w:rsid w:val="002D27F6"/>
    <w:rsid w:val="002D44B6"/>
    <w:rsid w:val="002D7DFE"/>
    <w:rsid w:val="002E20B2"/>
    <w:rsid w:val="002F20DE"/>
    <w:rsid w:val="003002FE"/>
    <w:rsid w:val="003004A6"/>
    <w:rsid w:val="003149AA"/>
    <w:rsid w:val="00323DD7"/>
    <w:rsid w:val="00325789"/>
    <w:rsid w:val="00326305"/>
    <w:rsid w:val="00331113"/>
    <w:rsid w:val="00347139"/>
    <w:rsid w:val="00353E1A"/>
    <w:rsid w:val="00363CA1"/>
    <w:rsid w:val="003647CC"/>
    <w:rsid w:val="00367D6C"/>
    <w:rsid w:val="00373A4B"/>
    <w:rsid w:val="00376749"/>
    <w:rsid w:val="00384038"/>
    <w:rsid w:val="003848C5"/>
    <w:rsid w:val="00385849"/>
    <w:rsid w:val="003917B3"/>
    <w:rsid w:val="003942B3"/>
    <w:rsid w:val="00395487"/>
    <w:rsid w:val="00396629"/>
    <w:rsid w:val="003977B3"/>
    <w:rsid w:val="003A0933"/>
    <w:rsid w:val="003B4D08"/>
    <w:rsid w:val="003B7DC5"/>
    <w:rsid w:val="003C2778"/>
    <w:rsid w:val="003C6252"/>
    <w:rsid w:val="003D164E"/>
    <w:rsid w:val="003D2307"/>
    <w:rsid w:val="003D3C81"/>
    <w:rsid w:val="003E46AE"/>
    <w:rsid w:val="0040431B"/>
    <w:rsid w:val="00405518"/>
    <w:rsid w:val="00406831"/>
    <w:rsid w:val="0041665D"/>
    <w:rsid w:val="00420D1E"/>
    <w:rsid w:val="00421CA4"/>
    <w:rsid w:val="00427B4A"/>
    <w:rsid w:val="00427CFC"/>
    <w:rsid w:val="004347D2"/>
    <w:rsid w:val="00442FFB"/>
    <w:rsid w:val="00446616"/>
    <w:rsid w:val="00450709"/>
    <w:rsid w:val="00455122"/>
    <w:rsid w:val="00460241"/>
    <w:rsid w:val="00465AB8"/>
    <w:rsid w:val="00466DF0"/>
    <w:rsid w:val="00472141"/>
    <w:rsid w:val="0047687C"/>
    <w:rsid w:val="00480F03"/>
    <w:rsid w:val="00482EA2"/>
    <w:rsid w:val="0049096D"/>
    <w:rsid w:val="00490A23"/>
    <w:rsid w:val="0049213F"/>
    <w:rsid w:val="00492E8F"/>
    <w:rsid w:val="00494772"/>
    <w:rsid w:val="00495BCE"/>
    <w:rsid w:val="004A1346"/>
    <w:rsid w:val="004B1FFD"/>
    <w:rsid w:val="004B271A"/>
    <w:rsid w:val="004B45A9"/>
    <w:rsid w:val="004C52A8"/>
    <w:rsid w:val="004D785F"/>
    <w:rsid w:val="004E0776"/>
    <w:rsid w:val="004E152A"/>
    <w:rsid w:val="004E2A9B"/>
    <w:rsid w:val="004E5F2F"/>
    <w:rsid w:val="004F47CB"/>
    <w:rsid w:val="0050352E"/>
    <w:rsid w:val="005138C2"/>
    <w:rsid w:val="0053293E"/>
    <w:rsid w:val="00532C71"/>
    <w:rsid w:val="005365AE"/>
    <w:rsid w:val="0053678E"/>
    <w:rsid w:val="0053685F"/>
    <w:rsid w:val="0054523B"/>
    <w:rsid w:val="00546F1D"/>
    <w:rsid w:val="00561AAE"/>
    <w:rsid w:val="00561C43"/>
    <w:rsid w:val="00564A53"/>
    <w:rsid w:val="00565444"/>
    <w:rsid w:val="005808A9"/>
    <w:rsid w:val="00580F39"/>
    <w:rsid w:val="00585473"/>
    <w:rsid w:val="005877C0"/>
    <w:rsid w:val="005A3207"/>
    <w:rsid w:val="005A7AF1"/>
    <w:rsid w:val="005B1AE5"/>
    <w:rsid w:val="005B6361"/>
    <w:rsid w:val="005C502E"/>
    <w:rsid w:val="005D33B7"/>
    <w:rsid w:val="005D3C06"/>
    <w:rsid w:val="005D739C"/>
    <w:rsid w:val="005E1590"/>
    <w:rsid w:val="005E5D30"/>
    <w:rsid w:val="005E5EA5"/>
    <w:rsid w:val="005E642F"/>
    <w:rsid w:val="005F2C90"/>
    <w:rsid w:val="00602E61"/>
    <w:rsid w:val="00603DB7"/>
    <w:rsid w:val="00604B48"/>
    <w:rsid w:val="0061151F"/>
    <w:rsid w:val="00614E46"/>
    <w:rsid w:val="00623559"/>
    <w:rsid w:val="00623971"/>
    <w:rsid w:val="006304C8"/>
    <w:rsid w:val="0063464F"/>
    <w:rsid w:val="0064334D"/>
    <w:rsid w:val="006478B8"/>
    <w:rsid w:val="00647DBE"/>
    <w:rsid w:val="0065608F"/>
    <w:rsid w:val="00656AAF"/>
    <w:rsid w:val="00661FDA"/>
    <w:rsid w:val="0067234C"/>
    <w:rsid w:val="006815C7"/>
    <w:rsid w:val="0068233F"/>
    <w:rsid w:val="00683EB6"/>
    <w:rsid w:val="00684114"/>
    <w:rsid w:val="0068493C"/>
    <w:rsid w:val="00691E84"/>
    <w:rsid w:val="006948DA"/>
    <w:rsid w:val="0069597E"/>
    <w:rsid w:val="006961FF"/>
    <w:rsid w:val="006A3B46"/>
    <w:rsid w:val="006A3C22"/>
    <w:rsid w:val="006B0A40"/>
    <w:rsid w:val="006B1BD3"/>
    <w:rsid w:val="006C72E8"/>
    <w:rsid w:val="006D3E0A"/>
    <w:rsid w:val="006D4F22"/>
    <w:rsid w:val="006D7562"/>
    <w:rsid w:val="006F2C86"/>
    <w:rsid w:val="006F3998"/>
    <w:rsid w:val="006F5C13"/>
    <w:rsid w:val="00706093"/>
    <w:rsid w:val="007069B0"/>
    <w:rsid w:val="00713277"/>
    <w:rsid w:val="00721C1A"/>
    <w:rsid w:val="007321C9"/>
    <w:rsid w:val="00737E8E"/>
    <w:rsid w:val="0074330F"/>
    <w:rsid w:val="00754984"/>
    <w:rsid w:val="00755AAF"/>
    <w:rsid w:val="0076038A"/>
    <w:rsid w:val="00762E96"/>
    <w:rsid w:val="00763192"/>
    <w:rsid w:val="00763919"/>
    <w:rsid w:val="00770911"/>
    <w:rsid w:val="00775AC6"/>
    <w:rsid w:val="00776883"/>
    <w:rsid w:val="00786D66"/>
    <w:rsid w:val="00795456"/>
    <w:rsid w:val="007A51E1"/>
    <w:rsid w:val="007A6D66"/>
    <w:rsid w:val="007A789A"/>
    <w:rsid w:val="007B4711"/>
    <w:rsid w:val="007C2803"/>
    <w:rsid w:val="007C4CF2"/>
    <w:rsid w:val="007C71B9"/>
    <w:rsid w:val="007D5C08"/>
    <w:rsid w:val="007F1DDA"/>
    <w:rsid w:val="007F282B"/>
    <w:rsid w:val="007F5A16"/>
    <w:rsid w:val="007F5B8D"/>
    <w:rsid w:val="00801DAC"/>
    <w:rsid w:val="00801E66"/>
    <w:rsid w:val="008060C4"/>
    <w:rsid w:val="008068E6"/>
    <w:rsid w:val="008076DF"/>
    <w:rsid w:val="00810FDD"/>
    <w:rsid w:val="00813982"/>
    <w:rsid w:val="008205A0"/>
    <w:rsid w:val="00825A52"/>
    <w:rsid w:val="00830857"/>
    <w:rsid w:val="008329CA"/>
    <w:rsid w:val="00835ECD"/>
    <w:rsid w:val="00843C01"/>
    <w:rsid w:val="008507E1"/>
    <w:rsid w:val="0085346D"/>
    <w:rsid w:val="008562B6"/>
    <w:rsid w:val="00860BD7"/>
    <w:rsid w:val="008649D2"/>
    <w:rsid w:val="00867EFB"/>
    <w:rsid w:val="00874911"/>
    <w:rsid w:val="00880423"/>
    <w:rsid w:val="00881BA0"/>
    <w:rsid w:val="00882EBF"/>
    <w:rsid w:val="00895F79"/>
    <w:rsid w:val="008A38DF"/>
    <w:rsid w:val="008B7188"/>
    <w:rsid w:val="008C4968"/>
    <w:rsid w:val="008D7F5F"/>
    <w:rsid w:val="008E0E1E"/>
    <w:rsid w:val="008F6FE2"/>
    <w:rsid w:val="0090013D"/>
    <w:rsid w:val="00911D98"/>
    <w:rsid w:val="00915366"/>
    <w:rsid w:val="009166DE"/>
    <w:rsid w:val="009257E2"/>
    <w:rsid w:val="00931A1F"/>
    <w:rsid w:val="00932C5E"/>
    <w:rsid w:val="00932C8E"/>
    <w:rsid w:val="0093571A"/>
    <w:rsid w:val="00941F07"/>
    <w:rsid w:val="0095277B"/>
    <w:rsid w:val="00952FA7"/>
    <w:rsid w:val="009533EC"/>
    <w:rsid w:val="0095424C"/>
    <w:rsid w:val="009607ED"/>
    <w:rsid w:val="009658D4"/>
    <w:rsid w:val="00971072"/>
    <w:rsid w:val="009A1AE8"/>
    <w:rsid w:val="009A274F"/>
    <w:rsid w:val="009B09A4"/>
    <w:rsid w:val="009B4499"/>
    <w:rsid w:val="009B4B95"/>
    <w:rsid w:val="009B6593"/>
    <w:rsid w:val="009B749D"/>
    <w:rsid w:val="009C5798"/>
    <w:rsid w:val="009C6367"/>
    <w:rsid w:val="009D01EE"/>
    <w:rsid w:val="009E5AB8"/>
    <w:rsid w:val="00A037F0"/>
    <w:rsid w:val="00A06C2F"/>
    <w:rsid w:val="00A11411"/>
    <w:rsid w:val="00A20D32"/>
    <w:rsid w:val="00A22225"/>
    <w:rsid w:val="00A23E42"/>
    <w:rsid w:val="00A268C7"/>
    <w:rsid w:val="00A45050"/>
    <w:rsid w:val="00A4711F"/>
    <w:rsid w:val="00A57DD0"/>
    <w:rsid w:val="00A62AB6"/>
    <w:rsid w:val="00A630E1"/>
    <w:rsid w:val="00A63A73"/>
    <w:rsid w:val="00A64325"/>
    <w:rsid w:val="00A67716"/>
    <w:rsid w:val="00A7573D"/>
    <w:rsid w:val="00A764A7"/>
    <w:rsid w:val="00A81A48"/>
    <w:rsid w:val="00A83572"/>
    <w:rsid w:val="00A86E32"/>
    <w:rsid w:val="00A8727D"/>
    <w:rsid w:val="00A94B8C"/>
    <w:rsid w:val="00AA018D"/>
    <w:rsid w:val="00AA210C"/>
    <w:rsid w:val="00AA2C3B"/>
    <w:rsid w:val="00AA548E"/>
    <w:rsid w:val="00AA6BDE"/>
    <w:rsid w:val="00AA7F9E"/>
    <w:rsid w:val="00AB5F70"/>
    <w:rsid w:val="00AC72F4"/>
    <w:rsid w:val="00AD5495"/>
    <w:rsid w:val="00AE7693"/>
    <w:rsid w:val="00AF2FE6"/>
    <w:rsid w:val="00AF394E"/>
    <w:rsid w:val="00AF3D3D"/>
    <w:rsid w:val="00B025E0"/>
    <w:rsid w:val="00B03B46"/>
    <w:rsid w:val="00B0435E"/>
    <w:rsid w:val="00B048CA"/>
    <w:rsid w:val="00B17BDD"/>
    <w:rsid w:val="00B17FBB"/>
    <w:rsid w:val="00B20CC1"/>
    <w:rsid w:val="00B21EBB"/>
    <w:rsid w:val="00B23AC7"/>
    <w:rsid w:val="00B2508C"/>
    <w:rsid w:val="00B2609B"/>
    <w:rsid w:val="00B26674"/>
    <w:rsid w:val="00B3131D"/>
    <w:rsid w:val="00B35E9B"/>
    <w:rsid w:val="00B371FB"/>
    <w:rsid w:val="00B373EF"/>
    <w:rsid w:val="00B37659"/>
    <w:rsid w:val="00B46AE4"/>
    <w:rsid w:val="00B51432"/>
    <w:rsid w:val="00B6432A"/>
    <w:rsid w:val="00B64C4D"/>
    <w:rsid w:val="00B65D44"/>
    <w:rsid w:val="00B73D8C"/>
    <w:rsid w:val="00B76208"/>
    <w:rsid w:val="00B85195"/>
    <w:rsid w:val="00B87312"/>
    <w:rsid w:val="00BA0E11"/>
    <w:rsid w:val="00BA24CC"/>
    <w:rsid w:val="00BA4155"/>
    <w:rsid w:val="00BA7531"/>
    <w:rsid w:val="00BA7846"/>
    <w:rsid w:val="00BB2559"/>
    <w:rsid w:val="00BC04C0"/>
    <w:rsid w:val="00BC3522"/>
    <w:rsid w:val="00BD113B"/>
    <w:rsid w:val="00BE5D2C"/>
    <w:rsid w:val="00BF2C0C"/>
    <w:rsid w:val="00C01E65"/>
    <w:rsid w:val="00C03D13"/>
    <w:rsid w:val="00C05254"/>
    <w:rsid w:val="00C0580C"/>
    <w:rsid w:val="00C06FC9"/>
    <w:rsid w:val="00C11D69"/>
    <w:rsid w:val="00C337B8"/>
    <w:rsid w:val="00C36210"/>
    <w:rsid w:val="00C37DC4"/>
    <w:rsid w:val="00C51015"/>
    <w:rsid w:val="00C5210D"/>
    <w:rsid w:val="00C56064"/>
    <w:rsid w:val="00C57EA5"/>
    <w:rsid w:val="00C617C5"/>
    <w:rsid w:val="00C768E8"/>
    <w:rsid w:val="00C9405E"/>
    <w:rsid w:val="00CA1B3D"/>
    <w:rsid w:val="00CA2FE4"/>
    <w:rsid w:val="00CA5550"/>
    <w:rsid w:val="00CB01E3"/>
    <w:rsid w:val="00CC0815"/>
    <w:rsid w:val="00CC160A"/>
    <w:rsid w:val="00CD1A6D"/>
    <w:rsid w:val="00CE0644"/>
    <w:rsid w:val="00CE22AB"/>
    <w:rsid w:val="00CF0EDE"/>
    <w:rsid w:val="00CF1A75"/>
    <w:rsid w:val="00D01421"/>
    <w:rsid w:val="00D01B41"/>
    <w:rsid w:val="00D20AF6"/>
    <w:rsid w:val="00D30B94"/>
    <w:rsid w:val="00D3371C"/>
    <w:rsid w:val="00D45CA2"/>
    <w:rsid w:val="00D469CB"/>
    <w:rsid w:val="00D50426"/>
    <w:rsid w:val="00D60560"/>
    <w:rsid w:val="00D613F1"/>
    <w:rsid w:val="00D6485D"/>
    <w:rsid w:val="00D731F0"/>
    <w:rsid w:val="00D754D2"/>
    <w:rsid w:val="00D76DCB"/>
    <w:rsid w:val="00D85E99"/>
    <w:rsid w:val="00D86592"/>
    <w:rsid w:val="00D90A67"/>
    <w:rsid w:val="00D926A3"/>
    <w:rsid w:val="00D932B1"/>
    <w:rsid w:val="00D94A58"/>
    <w:rsid w:val="00D95C4F"/>
    <w:rsid w:val="00DA077E"/>
    <w:rsid w:val="00DA7770"/>
    <w:rsid w:val="00DB700D"/>
    <w:rsid w:val="00DC4C02"/>
    <w:rsid w:val="00DD5D8A"/>
    <w:rsid w:val="00DE0294"/>
    <w:rsid w:val="00DE2F6B"/>
    <w:rsid w:val="00DE4ED4"/>
    <w:rsid w:val="00DE58D6"/>
    <w:rsid w:val="00DE6D0F"/>
    <w:rsid w:val="00E062DA"/>
    <w:rsid w:val="00E24C82"/>
    <w:rsid w:val="00E2793C"/>
    <w:rsid w:val="00E376C9"/>
    <w:rsid w:val="00E41F75"/>
    <w:rsid w:val="00E45307"/>
    <w:rsid w:val="00E53A22"/>
    <w:rsid w:val="00E6048F"/>
    <w:rsid w:val="00E64DCF"/>
    <w:rsid w:val="00E86CB4"/>
    <w:rsid w:val="00E87DBF"/>
    <w:rsid w:val="00E901B2"/>
    <w:rsid w:val="00EA6C0D"/>
    <w:rsid w:val="00EB311A"/>
    <w:rsid w:val="00EB5084"/>
    <w:rsid w:val="00EC0847"/>
    <w:rsid w:val="00EC3E0A"/>
    <w:rsid w:val="00EC53D8"/>
    <w:rsid w:val="00ED58BA"/>
    <w:rsid w:val="00EE067F"/>
    <w:rsid w:val="00EE074A"/>
    <w:rsid w:val="00EE0F02"/>
    <w:rsid w:val="00EE4CDD"/>
    <w:rsid w:val="00EE709F"/>
    <w:rsid w:val="00EF0253"/>
    <w:rsid w:val="00F1189A"/>
    <w:rsid w:val="00F11AE7"/>
    <w:rsid w:val="00F1581F"/>
    <w:rsid w:val="00F168F2"/>
    <w:rsid w:val="00F261CD"/>
    <w:rsid w:val="00F304C9"/>
    <w:rsid w:val="00F3168F"/>
    <w:rsid w:val="00F3186F"/>
    <w:rsid w:val="00F321B0"/>
    <w:rsid w:val="00F37D66"/>
    <w:rsid w:val="00F54076"/>
    <w:rsid w:val="00F6252C"/>
    <w:rsid w:val="00F6607C"/>
    <w:rsid w:val="00F67968"/>
    <w:rsid w:val="00F67EE0"/>
    <w:rsid w:val="00F71D16"/>
    <w:rsid w:val="00F7395B"/>
    <w:rsid w:val="00F74823"/>
    <w:rsid w:val="00F75286"/>
    <w:rsid w:val="00F77BEC"/>
    <w:rsid w:val="00F920B1"/>
    <w:rsid w:val="00F935EA"/>
    <w:rsid w:val="00F93B33"/>
    <w:rsid w:val="00FA17C8"/>
    <w:rsid w:val="00FA1893"/>
    <w:rsid w:val="00FA2540"/>
    <w:rsid w:val="00FA5E75"/>
    <w:rsid w:val="00FB3C8D"/>
    <w:rsid w:val="00FB57C3"/>
    <w:rsid w:val="00FB5AEB"/>
    <w:rsid w:val="00FB5E1F"/>
    <w:rsid w:val="00FB66C4"/>
    <w:rsid w:val="00FB7196"/>
    <w:rsid w:val="00FC04E1"/>
    <w:rsid w:val="00FC0A8C"/>
    <w:rsid w:val="00FC2BAA"/>
    <w:rsid w:val="00FD10E9"/>
    <w:rsid w:val="00FD757A"/>
    <w:rsid w:val="00FE0DD0"/>
    <w:rsid w:val="00FE2C25"/>
    <w:rsid w:val="00FE56CE"/>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s-ES" w:eastAsia="es-E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3A22"/>
    <w:pPr>
      <w:spacing w:after="200" w:line="276" w:lineRule="auto"/>
    </w:pPr>
    <w:rPr>
      <w:sz w:val="22"/>
      <w:szCs w:val="22"/>
    </w:rPr>
  </w:style>
  <w:style w:type="paragraph" w:styleId="Ttulo3">
    <w:name w:val="heading 3"/>
    <w:basedOn w:val="Normal"/>
    <w:next w:val="Normal"/>
    <w:link w:val="Ttulo3Car"/>
    <w:qFormat/>
    <w:rsid w:val="00AD5495"/>
    <w:pPr>
      <w:keepNext/>
      <w:autoSpaceDE w:val="0"/>
      <w:autoSpaceDN w:val="0"/>
      <w:adjustRightInd w:val="0"/>
      <w:spacing w:after="0" w:line="240" w:lineRule="auto"/>
      <w:jc w:val="right"/>
      <w:outlineLvl w:val="2"/>
    </w:pPr>
    <w:rPr>
      <w:rFonts w:ascii="Arial" w:hAnsi="Arial"/>
      <w:b/>
      <w:color w:val="FF0000"/>
      <w:sz w:val="24"/>
      <w:szCs w:val="20"/>
      <w:lang w:val="x-none" w:eastAsia="x-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AA210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deglobo">
    <w:name w:val="Balloon Text"/>
    <w:basedOn w:val="Normal"/>
    <w:link w:val="TextodegloboCar"/>
    <w:uiPriority w:val="99"/>
    <w:semiHidden/>
    <w:unhideWhenUsed/>
    <w:rsid w:val="00AA210C"/>
    <w:pPr>
      <w:spacing w:after="0" w:line="240" w:lineRule="auto"/>
    </w:pPr>
    <w:rPr>
      <w:rFonts w:ascii="Tahoma" w:hAnsi="Tahoma"/>
      <w:sz w:val="16"/>
      <w:szCs w:val="16"/>
      <w:lang w:val="x-none" w:eastAsia="x-none"/>
    </w:rPr>
  </w:style>
  <w:style w:type="character" w:customStyle="1" w:styleId="TextodegloboCar">
    <w:name w:val="Texto de globo Car"/>
    <w:link w:val="Textodeglobo"/>
    <w:uiPriority w:val="99"/>
    <w:semiHidden/>
    <w:rsid w:val="00AA210C"/>
    <w:rPr>
      <w:rFonts w:ascii="Tahoma" w:hAnsi="Tahoma" w:cs="Tahoma"/>
      <w:sz w:val="16"/>
      <w:szCs w:val="16"/>
    </w:rPr>
  </w:style>
  <w:style w:type="paragraph" w:customStyle="1" w:styleId="Default">
    <w:name w:val="Default"/>
    <w:rsid w:val="0053678E"/>
    <w:pPr>
      <w:autoSpaceDE w:val="0"/>
      <w:autoSpaceDN w:val="0"/>
      <w:adjustRightInd w:val="0"/>
    </w:pPr>
    <w:rPr>
      <w:rFonts w:ascii="YCTND Q+ Myriad Pro" w:hAnsi="YCTND Q+ Myriad Pro" w:cs="YCTND Q+ Myriad Pro"/>
      <w:color w:val="000000"/>
      <w:sz w:val="24"/>
      <w:szCs w:val="24"/>
    </w:rPr>
  </w:style>
  <w:style w:type="paragraph" w:customStyle="1" w:styleId="CM1">
    <w:name w:val="CM1"/>
    <w:basedOn w:val="Default"/>
    <w:next w:val="Default"/>
    <w:uiPriority w:val="99"/>
    <w:rsid w:val="00203A90"/>
    <w:pPr>
      <w:spacing w:line="178" w:lineRule="atLeast"/>
    </w:pPr>
    <w:rPr>
      <w:rFonts w:ascii="QCFWB R+ Myriad Pro" w:hAnsi="QCFWB R+ Myriad Pro" w:cs="Times New Roman"/>
      <w:color w:val="auto"/>
    </w:rPr>
  </w:style>
  <w:style w:type="paragraph" w:customStyle="1" w:styleId="CM2">
    <w:name w:val="CM2"/>
    <w:basedOn w:val="Default"/>
    <w:next w:val="Default"/>
    <w:uiPriority w:val="99"/>
    <w:rsid w:val="00203A90"/>
    <w:pPr>
      <w:spacing w:line="180" w:lineRule="atLeast"/>
    </w:pPr>
    <w:rPr>
      <w:rFonts w:ascii="QCFWB R+ Myriad Pro" w:hAnsi="QCFWB R+ Myriad Pro" w:cs="Times New Roman"/>
      <w:color w:val="auto"/>
    </w:rPr>
  </w:style>
  <w:style w:type="paragraph" w:customStyle="1" w:styleId="CM5">
    <w:name w:val="CM5"/>
    <w:basedOn w:val="Default"/>
    <w:next w:val="Default"/>
    <w:uiPriority w:val="99"/>
    <w:rsid w:val="00203A90"/>
    <w:pPr>
      <w:spacing w:after="180"/>
    </w:pPr>
    <w:rPr>
      <w:rFonts w:ascii="QCFWB R+ Myriad Pro" w:hAnsi="QCFWB R+ Myriad Pro" w:cs="Times New Roman"/>
      <w:color w:val="auto"/>
    </w:rPr>
  </w:style>
  <w:style w:type="paragraph" w:customStyle="1" w:styleId="CM4">
    <w:name w:val="CM4"/>
    <w:basedOn w:val="Default"/>
    <w:next w:val="Default"/>
    <w:uiPriority w:val="99"/>
    <w:rsid w:val="00203A90"/>
    <w:pPr>
      <w:spacing w:line="180" w:lineRule="atLeast"/>
    </w:pPr>
    <w:rPr>
      <w:rFonts w:ascii="QCFWB R+ Myriad Pro" w:hAnsi="QCFWB R+ Myriad Pro" w:cs="Times New Roman"/>
      <w:color w:val="auto"/>
    </w:rPr>
  </w:style>
  <w:style w:type="paragraph" w:styleId="Sangra3detindependiente">
    <w:name w:val="Body Text Indent 3"/>
    <w:basedOn w:val="Normal"/>
    <w:link w:val="Sangra3detindependienteCar"/>
    <w:rsid w:val="00C768E8"/>
    <w:pPr>
      <w:spacing w:after="0" w:line="240" w:lineRule="auto"/>
      <w:ind w:left="2835"/>
      <w:jc w:val="both"/>
    </w:pPr>
    <w:rPr>
      <w:rFonts w:ascii="Arial" w:hAnsi="Arial"/>
      <w:sz w:val="24"/>
      <w:szCs w:val="20"/>
      <w:lang w:val="es-ES_tradnl" w:eastAsia="x-none"/>
    </w:rPr>
  </w:style>
  <w:style w:type="character" w:customStyle="1" w:styleId="Sangra3detindependienteCar">
    <w:name w:val="Sangría 3 de t. independiente Car"/>
    <w:link w:val="Sangra3detindependiente"/>
    <w:rsid w:val="00C768E8"/>
    <w:rPr>
      <w:rFonts w:ascii="Arial" w:eastAsia="Times New Roman" w:hAnsi="Arial" w:cs="Times New Roman"/>
      <w:sz w:val="24"/>
      <w:szCs w:val="20"/>
      <w:lang w:val="es-ES_tradnl"/>
    </w:rPr>
  </w:style>
  <w:style w:type="character" w:customStyle="1" w:styleId="Ttulo3Car">
    <w:name w:val="Título 3 Car"/>
    <w:link w:val="Ttulo3"/>
    <w:rsid w:val="00AD5495"/>
    <w:rPr>
      <w:rFonts w:ascii="Arial" w:eastAsia="Times New Roman" w:hAnsi="Arial" w:cs="Times New Roman"/>
      <w:b/>
      <w:color w:val="FF0000"/>
      <w:sz w:val="24"/>
      <w:szCs w:val="20"/>
    </w:rPr>
  </w:style>
  <w:style w:type="paragraph" w:styleId="Sangradetextonormal">
    <w:name w:val="Body Text Indent"/>
    <w:basedOn w:val="Normal"/>
    <w:link w:val="SangradetextonormalCar"/>
    <w:uiPriority w:val="99"/>
    <w:semiHidden/>
    <w:unhideWhenUsed/>
    <w:rsid w:val="00874911"/>
    <w:pPr>
      <w:spacing w:after="120"/>
      <w:ind w:left="283"/>
    </w:pPr>
  </w:style>
  <w:style w:type="character" w:customStyle="1" w:styleId="SangradetextonormalCar">
    <w:name w:val="Sangría de texto normal Car"/>
    <w:basedOn w:val="Fuentedeprrafopredeter"/>
    <w:link w:val="Sangradetextonormal"/>
    <w:uiPriority w:val="99"/>
    <w:semiHidden/>
    <w:rsid w:val="00874911"/>
  </w:style>
  <w:style w:type="paragraph" w:styleId="Prrafodelista">
    <w:name w:val="List Paragraph"/>
    <w:basedOn w:val="Normal"/>
    <w:uiPriority w:val="34"/>
    <w:qFormat/>
    <w:rsid w:val="0067234C"/>
    <w:pPr>
      <w:ind w:left="720"/>
      <w:contextualSpacing/>
    </w:pPr>
  </w:style>
  <w:style w:type="paragraph" w:styleId="Sangra2detindependiente">
    <w:name w:val="Body Text Indent 2"/>
    <w:basedOn w:val="Normal"/>
    <w:link w:val="Sangra2detindependienteCar"/>
    <w:uiPriority w:val="99"/>
    <w:semiHidden/>
    <w:unhideWhenUsed/>
    <w:rsid w:val="00D76DCB"/>
    <w:pPr>
      <w:spacing w:after="120" w:line="480" w:lineRule="auto"/>
      <w:ind w:left="283"/>
    </w:pPr>
  </w:style>
  <w:style w:type="character" w:customStyle="1" w:styleId="Sangra2detindependienteCar">
    <w:name w:val="Sangría 2 de t. independiente Car"/>
    <w:basedOn w:val="Fuentedeprrafopredeter"/>
    <w:link w:val="Sangra2detindependiente"/>
    <w:uiPriority w:val="99"/>
    <w:semiHidden/>
    <w:rsid w:val="00D76DCB"/>
    <w:rPr>
      <w:sz w:val="22"/>
      <w:szCs w:val="22"/>
    </w:rPr>
  </w:style>
  <w:style w:type="paragraph" w:customStyle="1" w:styleId="Pa39">
    <w:name w:val="Pa39"/>
    <w:basedOn w:val="Default"/>
    <w:next w:val="Default"/>
    <w:uiPriority w:val="99"/>
    <w:rsid w:val="00BA24CC"/>
    <w:pPr>
      <w:spacing w:line="201" w:lineRule="atLeast"/>
    </w:pPr>
    <w:rPr>
      <w:rFonts w:ascii="Times New Roman" w:eastAsiaTheme="minorHAnsi" w:hAnsi="Times New Roman" w:cs="Times New Roman"/>
      <w:color w:val="auto"/>
      <w:lang w:eastAsia="en-US"/>
    </w:rPr>
  </w:style>
  <w:style w:type="character" w:customStyle="1" w:styleId="A1">
    <w:name w:val="A1"/>
    <w:uiPriority w:val="99"/>
    <w:rsid w:val="008F6FE2"/>
    <w:rPr>
      <w:color w:val="221E1F"/>
    </w:rPr>
  </w:style>
  <w:style w:type="paragraph" w:styleId="Encabezado">
    <w:name w:val="header"/>
    <w:basedOn w:val="Normal"/>
    <w:link w:val="EncabezadoCar"/>
    <w:uiPriority w:val="99"/>
    <w:unhideWhenUsed/>
    <w:rsid w:val="00721C1A"/>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721C1A"/>
    <w:rPr>
      <w:sz w:val="22"/>
      <w:szCs w:val="22"/>
    </w:rPr>
  </w:style>
  <w:style w:type="paragraph" w:styleId="Piedepgina">
    <w:name w:val="footer"/>
    <w:basedOn w:val="Normal"/>
    <w:link w:val="PiedepginaCar"/>
    <w:uiPriority w:val="99"/>
    <w:unhideWhenUsed/>
    <w:rsid w:val="00721C1A"/>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721C1A"/>
    <w:rPr>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es-ES" w:eastAsia="es-E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3A22"/>
    <w:pPr>
      <w:spacing w:after="200" w:line="276" w:lineRule="auto"/>
    </w:pPr>
    <w:rPr>
      <w:sz w:val="22"/>
      <w:szCs w:val="22"/>
    </w:rPr>
  </w:style>
  <w:style w:type="paragraph" w:styleId="Ttulo3">
    <w:name w:val="heading 3"/>
    <w:basedOn w:val="Normal"/>
    <w:next w:val="Normal"/>
    <w:link w:val="Ttulo3Car"/>
    <w:qFormat/>
    <w:rsid w:val="00AD5495"/>
    <w:pPr>
      <w:keepNext/>
      <w:autoSpaceDE w:val="0"/>
      <w:autoSpaceDN w:val="0"/>
      <w:adjustRightInd w:val="0"/>
      <w:spacing w:after="0" w:line="240" w:lineRule="auto"/>
      <w:jc w:val="right"/>
      <w:outlineLvl w:val="2"/>
    </w:pPr>
    <w:rPr>
      <w:rFonts w:ascii="Arial" w:hAnsi="Arial"/>
      <w:b/>
      <w:color w:val="FF0000"/>
      <w:sz w:val="24"/>
      <w:szCs w:val="20"/>
      <w:lang w:val="x-none" w:eastAsia="x-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AA210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deglobo">
    <w:name w:val="Balloon Text"/>
    <w:basedOn w:val="Normal"/>
    <w:link w:val="TextodegloboCar"/>
    <w:uiPriority w:val="99"/>
    <w:semiHidden/>
    <w:unhideWhenUsed/>
    <w:rsid w:val="00AA210C"/>
    <w:pPr>
      <w:spacing w:after="0" w:line="240" w:lineRule="auto"/>
    </w:pPr>
    <w:rPr>
      <w:rFonts w:ascii="Tahoma" w:hAnsi="Tahoma"/>
      <w:sz w:val="16"/>
      <w:szCs w:val="16"/>
      <w:lang w:val="x-none" w:eastAsia="x-none"/>
    </w:rPr>
  </w:style>
  <w:style w:type="character" w:customStyle="1" w:styleId="TextodegloboCar">
    <w:name w:val="Texto de globo Car"/>
    <w:link w:val="Textodeglobo"/>
    <w:uiPriority w:val="99"/>
    <w:semiHidden/>
    <w:rsid w:val="00AA210C"/>
    <w:rPr>
      <w:rFonts w:ascii="Tahoma" w:hAnsi="Tahoma" w:cs="Tahoma"/>
      <w:sz w:val="16"/>
      <w:szCs w:val="16"/>
    </w:rPr>
  </w:style>
  <w:style w:type="paragraph" w:customStyle="1" w:styleId="Default">
    <w:name w:val="Default"/>
    <w:rsid w:val="0053678E"/>
    <w:pPr>
      <w:autoSpaceDE w:val="0"/>
      <w:autoSpaceDN w:val="0"/>
      <w:adjustRightInd w:val="0"/>
    </w:pPr>
    <w:rPr>
      <w:rFonts w:ascii="YCTND Q+ Myriad Pro" w:hAnsi="YCTND Q+ Myriad Pro" w:cs="YCTND Q+ Myriad Pro"/>
      <w:color w:val="000000"/>
      <w:sz w:val="24"/>
      <w:szCs w:val="24"/>
    </w:rPr>
  </w:style>
  <w:style w:type="paragraph" w:customStyle="1" w:styleId="CM1">
    <w:name w:val="CM1"/>
    <w:basedOn w:val="Default"/>
    <w:next w:val="Default"/>
    <w:uiPriority w:val="99"/>
    <w:rsid w:val="00203A90"/>
    <w:pPr>
      <w:spacing w:line="178" w:lineRule="atLeast"/>
    </w:pPr>
    <w:rPr>
      <w:rFonts w:ascii="QCFWB R+ Myriad Pro" w:hAnsi="QCFWB R+ Myriad Pro" w:cs="Times New Roman"/>
      <w:color w:val="auto"/>
    </w:rPr>
  </w:style>
  <w:style w:type="paragraph" w:customStyle="1" w:styleId="CM2">
    <w:name w:val="CM2"/>
    <w:basedOn w:val="Default"/>
    <w:next w:val="Default"/>
    <w:uiPriority w:val="99"/>
    <w:rsid w:val="00203A90"/>
    <w:pPr>
      <w:spacing w:line="180" w:lineRule="atLeast"/>
    </w:pPr>
    <w:rPr>
      <w:rFonts w:ascii="QCFWB R+ Myriad Pro" w:hAnsi="QCFWB R+ Myriad Pro" w:cs="Times New Roman"/>
      <w:color w:val="auto"/>
    </w:rPr>
  </w:style>
  <w:style w:type="paragraph" w:customStyle="1" w:styleId="CM5">
    <w:name w:val="CM5"/>
    <w:basedOn w:val="Default"/>
    <w:next w:val="Default"/>
    <w:uiPriority w:val="99"/>
    <w:rsid w:val="00203A90"/>
    <w:pPr>
      <w:spacing w:after="180"/>
    </w:pPr>
    <w:rPr>
      <w:rFonts w:ascii="QCFWB R+ Myriad Pro" w:hAnsi="QCFWB R+ Myriad Pro" w:cs="Times New Roman"/>
      <w:color w:val="auto"/>
    </w:rPr>
  </w:style>
  <w:style w:type="paragraph" w:customStyle="1" w:styleId="CM4">
    <w:name w:val="CM4"/>
    <w:basedOn w:val="Default"/>
    <w:next w:val="Default"/>
    <w:uiPriority w:val="99"/>
    <w:rsid w:val="00203A90"/>
    <w:pPr>
      <w:spacing w:line="180" w:lineRule="atLeast"/>
    </w:pPr>
    <w:rPr>
      <w:rFonts w:ascii="QCFWB R+ Myriad Pro" w:hAnsi="QCFWB R+ Myriad Pro" w:cs="Times New Roman"/>
      <w:color w:val="auto"/>
    </w:rPr>
  </w:style>
  <w:style w:type="paragraph" w:styleId="Sangra3detindependiente">
    <w:name w:val="Body Text Indent 3"/>
    <w:basedOn w:val="Normal"/>
    <w:link w:val="Sangra3detindependienteCar"/>
    <w:rsid w:val="00C768E8"/>
    <w:pPr>
      <w:spacing w:after="0" w:line="240" w:lineRule="auto"/>
      <w:ind w:left="2835"/>
      <w:jc w:val="both"/>
    </w:pPr>
    <w:rPr>
      <w:rFonts w:ascii="Arial" w:hAnsi="Arial"/>
      <w:sz w:val="24"/>
      <w:szCs w:val="20"/>
      <w:lang w:val="es-ES_tradnl" w:eastAsia="x-none"/>
    </w:rPr>
  </w:style>
  <w:style w:type="character" w:customStyle="1" w:styleId="Sangra3detindependienteCar">
    <w:name w:val="Sangría 3 de t. independiente Car"/>
    <w:link w:val="Sangra3detindependiente"/>
    <w:rsid w:val="00C768E8"/>
    <w:rPr>
      <w:rFonts w:ascii="Arial" w:eastAsia="Times New Roman" w:hAnsi="Arial" w:cs="Times New Roman"/>
      <w:sz w:val="24"/>
      <w:szCs w:val="20"/>
      <w:lang w:val="es-ES_tradnl"/>
    </w:rPr>
  </w:style>
  <w:style w:type="character" w:customStyle="1" w:styleId="Ttulo3Car">
    <w:name w:val="Título 3 Car"/>
    <w:link w:val="Ttulo3"/>
    <w:rsid w:val="00AD5495"/>
    <w:rPr>
      <w:rFonts w:ascii="Arial" w:eastAsia="Times New Roman" w:hAnsi="Arial" w:cs="Times New Roman"/>
      <w:b/>
      <w:color w:val="FF0000"/>
      <w:sz w:val="24"/>
      <w:szCs w:val="20"/>
    </w:rPr>
  </w:style>
  <w:style w:type="paragraph" w:styleId="Sangradetextonormal">
    <w:name w:val="Body Text Indent"/>
    <w:basedOn w:val="Normal"/>
    <w:link w:val="SangradetextonormalCar"/>
    <w:uiPriority w:val="99"/>
    <w:semiHidden/>
    <w:unhideWhenUsed/>
    <w:rsid w:val="00874911"/>
    <w:pPr>
      <w:spacing w:after="120"/>
      <w:ind w:left="283"/>
    </w:pPr>
  </w:style>
  <w:style w:type="character" w:customStyle="1" w:styleId="SangradetextonormalCar">
    <w:name w:val="Sangría de texto normal Car"/>
    <w:basedOn w:val="Fuentedeprrafopredeter"/>
    <w:link w:val="Sangradetextonormal"/>
    <w:uiPriority w:val="99"/>
    <w:semiHidden/>
    <w:rsid w:val="00874911"/>
  </w:style>
  <w:style w:type="paragraph" w:styleId="Prrafodelista">
    <w:name w:val="List Paragraph"/>
    <w:basedOn w:val="Normal"/>
    <w:uiPriority w:val="34"/>
    <w:qFormat/>
    <w:rsid w:val="0067234C"/>
    <w:pPr>
      <w:ind w:left="720"/>
      <w:contextualSpacing/>
    </w:pPr>
  </w:style>
  <w:style w:type="paragraph" w:styleId="Sangra2detindependiente">
    <w:name w:val="Body Text Indent 2"/>
    <w:basedOn w:val="Normal"/>
    <w:link w:val="Sangra2detindependienteCar"/>
    <w:uiPriority w:val="99"/>
    <w:semiHidden/>
    <w:unhideWhenUsed/>
    <w:rsid w:val="00D76DCB"/>
    <w:pPr>
      <w:spacing w:after="120" w:line="480" w:lineRule="auto"/>
      <w:ind w:left="283"/>
    </w:pPr>
  </w:style>
  <w:style w:type="character" w:customStyle="1" w:styleId="Sangra2detindependienteCar">
    <w:name w:val="Sangría 2 de t. independiente Car"/>
    <w:basedOn w:val="Fuentedeprrafopredeter"/>
    <w:link w:val="Sangra2detindependiente"/>
    <w:uiPriority w:val="99"/>
    <w:semiHidden/>
    <w:rsid w:val="00D76DCB"/>
    <w:rPr>
      <w:sz w:val="22"/>
      <w:szCs w:val="22"/>
    </w:rPr>
  </w:style>
  <w:style w:type="paragraph" w:customStyle="1" w:styleId="Pa39">
    <w:name w:val="Pa39"/>
    <w:basedOn w:val="Default"/>
    <w:next w:val="Default"/>
    <w:uiPriority w:val="99"/>
    <w:rsid w:val="00BA24CC"/>
    <w:pPr>
      <w:spacing w:line="201" w:lineRule="atLeast"/>
    </w:pPr>
    <w:rPr>
      <w:rFonts w:ascii="Times New Roman" w:eastAsiaTheme="minorHAnsi" w:hAnsi="Times New Roman" w:cs="Times New Roman"/>
      <w:color w:val="auto"/>
      <w:lang w:eastAsia="en-US"/>
    </w:rPr>
  </w:style>
  <w:style w:type="character" w:customStyle="1" w:styleId="A1">
    <w:name w:val="A1"/>
    <w:uiPriority w:val="99"/>
    <w:rsid w:val="008F6FE2"/>
    <w:rPr>
      <w:color w:val="221E1F"/>
    </w:rPr>
  </w:style>
  <w:style w:type="paragraph" w:styleId="Encabezado">
    <w:name w:val="header"/>
    <w:basedOn w:val="Normal"/>
    <w:link w:val="EncabezadoCar"/>
    <w:uiPriority w:val="99"/>
    <w:unhideWhenUsed/>
    <w:rsid w:val="00721C1A"/>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721C1A"/>
    <w:rPr>
      <w:sz w:val="22"/>
      <w:szCs w:val="22"/>
    </w:rPr>
  </w:style>
  <w:style w:type="paragraph" w:styleId="Piedepgina">
    <w:name w:val="footer"/>
    <w:basedOn w:val="Normal"/>
    <w:link w:val="PiedepginaCar"/>
    <w:uiPriority w:val="99"/>
    <w:unhideWhenUsed/>
    <w:rsid w:val="00721C1A"/>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721C1A"/>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6140655">
      <w:bodyDiv w:val="1"/>
      <w:marLeft w:val="0"/>
      <w:marRight w:val="0"/>
      <w:marTop w:val="0"/>
      <w:marBottom w:val="0"/>
      <w:divBdr>
        <w:top w:val="none" w:sz="0" w:space="0" w:color="auto"/>
        <w:left w:val="none" w:sz="0" w:space="0" w:color="auto"/>
        <w:bottom w:val="none" w:sz="0" w:space="0" w:color="auto"/>
        <w:right w:val="none" w:sz="0" w:space="0" w:color="auto"/>
      </w:divBdr>
    </w:div>
    <w:div w:id="253783424">
      <w:bodyDiv w:val="1"/>
      <w:marLeft w:val="0"/>
      <w:marRight w:val="0"/>
      <w:marTop w:val="0"/>
      <w:marBottom w:val="0"/>
      <w:divBdr>
        <w:top w:val="none" w:sz="0" w:space="0" w:color="auto"/>
        <w:left w:val="none" w:sz="0" w:space="0" w:color="auto"/>
        <w:bottom w:val="none" w:sz="0" w:space="0" w:color="auto"/>
        <w:right w:val="none" w:sz="0" w:space="0" w:color="auto"/>
      </w:divBdr>
    </w:div>
    <w:div w:id="691539919">
      <w:bodyDiv w:val="1"/>
      <w:marLeft w:val="0"/>
      <w:marRight w:val="0"/>
      <w:marTop w:val="0"/>
      <w:marBottom w:val="0"/>
      <w:divBdr>
        <w:top w:val="none" w:sz="0" w:space="0" w:color="auto"/>
        <w:left w:val="none" w:sz="0" w:space="0" w:color="auto"/>
        <w:bottom w:val="none" w:sz="0" w:space="0" w:color="auto"/>
        <w:right w:val="none" w:sz="0" w:space="0" w:color="auto"/>
      </w:divBdr>
    </w:div>
    <w:div w:id="913007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5329EA-6348-454C-9FB4-81A8BBAF69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3996</Words>
  <Characters>21984</Characters>
  <Application>Microsoft Office Word</Application>
  <DocSecurity>0</DocSecurity>
  <Lines>183</Lines>
  <Paragraphs>51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ONE</Company>
  <LinksUpToDate>false</LinksUpToDate>
  <CharactersWithSpaces>25929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julius</dc:creator>
  <cp:lastModifiedBy>evelyn</cp:lastModifiedBy>
  <cp:revision>7</cp:revision>
  <cp:lastPrinted>2018-08-27T16:12:00Z</cp:lastPrinted>
  <dcterms:created xsi:type="dcterms:W3CDTF">2018-11-02T19:06:00Z</dcterms:created>
  <dcterms:modified xsi:type="dcterms:W3CDTF">2018-11-02T21:54:00Z</dcterms:modified>
</cp:coreProperties>
</file>